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D0834">
      <w:pPr>
        <w:adjustRightInd w:val="0"/>
        <w:snapToGrid w:val="0"/>
        <w:ind w:right="-159" w:hanging="181"/>
        <w:jc w:val="center"/>
        <w:rPr>
          <w:rFonts w:ascii="公文小标宋简" w:eastAsia="公文小标宋简"/>
          <w:b/>
          <w:bCs/>
          <w:smallCaps/>
          <w:snapToGrid w:val="0"/>
          <w:color w:val="auto"/>
          <w:spacing w:val="56"/>
          <w:kern w:val="0"/>
          <w:sz w:val="72"/>
          <w:szCs w:val="72"/>
        </w:rPr>
      </w:pPr>
    </w:p>
    <w:p w14:paraId="1003BA03">
      <w:pPr>
        <w:wordWrap w:val="0"/>
        <w:adjustRightInd w:val="0"/>
        <w:snapToGrid w:val="0"/>
        <w:spacing w:line="600" w:lineRule="exact"/>
        <w:ind w:firstLine="420" w:firstLineChars="200"/>
      </w:pPr>
      <w:r>
        <w:t xml:space="preserve">                                       </w:t>
      </w:r>
      <w:r>
        <w:rPr>
          <w:rFonts w:eastAsia="仿宋_GB2312"/>
          <w:sz w:val="32"/>
          <w:szCs w:val="32"/>
        </w:rPr>
        <w:t>穗环管影（番）〔202</w:t>
      </w:r>
      <w:r>
        <w:rPr>
          <w:rFonts w:hint="eastAsia" w:eastAsia="仿宋_GB2312"/>
          <w:sz w:val="32"/>
          <w:szCs w:val="32"/>
          <w:lang w:val="en-US" w:eastAsia="zh-CN"/>
        </w:rPr>
        <w:t>5</w:t>
      </w:r>
      <w:r>
        <w:rPr>
          <w:rFonts w:eastAsia="仿宋_GB2312"/>
          <w:sz w:val="32"/>
          <w:szCs w:val="32"/>
        </w:rPr>
        <w:t>〕</w:t>
      </w:r>
      <w:r>
        <w:rPr>
          <w:rFonts w:hint="eastAsia" w:eastAsia="仿宋_GB2312"/>
          <w:sz w:val="32"/>
          <w:szCs w:val="32"/>
          <w:lang w:val="en-US" w:eastAsia="zh-CN"/>
        </w:rPr>
        <w:t>84</w:t>
      </w:r>
      <w:r>
        <w:rPr>
          <w:rFonts w:eastAsia="仿宋_GB2312"/>
          <w:sz w:val="32"/>
          <w:szCs w:val="32"/>
        </w:rPr>
        <w:t>号</w:t>
      </w:r>
    </w:p>
    <w:p w14:paraId="58FE6671">
      <w:pPr>
        <w:rPr>
          <w:rFonts w:eastAsia="黑体"/>
        </w:rPr>
      </w:pPr>
    </w:p>
    <w:p w14:paraId="49DD3AE0">
      <w:pPr>
        <w:adjustRightInd w:val="0"/>
        <w:snapToGrid w:val="0"/>
        <w:spacing w:line="600" w:lineRule="exact"/>
      </w:pPr>
    </w:p>
    <w:p w14:paraId="791DD1E0">
      <w:pPr>
        <w:spacing w:line="560" w:lineRule="exact"/>
        <w:jc w:val="center"/>
        <w:rPr>
          <w:rFonts w:hint="eastAsia" w:eastAsia="方正小标宋简体"/>
          <w:sz w:val="44"/>
          <w:szCs w:val="44"/>
          <w:lang w:bidi="ar"/>
        </w:rPr>
      </w:pPr>
      <w:r>
        <w:rPr>
          <w:rFonts w:eastAsia="方正小标宋简体"/>
          <w:sz w:val="44"/>
          <w:szCs w:val="44"/>
          <w:lang w:bidi="ar"/>
        </w:rPr>
        <w:t>广州市生态环境局关于</w:t>
      </w:r>
      <w:r>
        <w:rPr>
          <w:rFonts w:hint="eastAsia" w:eastAsia="方正小标宋简体"/>
          <w:sz w:val="44"/>
          <w:szCs w:val="44"/>
          <w:lang w:bidi="ar"/>
        </w:rPr>
        <w:t>广州市万全金属制品</w:t>
      </w:r>
    </w:p>
    <w:p w14:paraId="1CA04070">
      <w:pPr>
        <w:spacing w:line="560" w:lineRule="exact"/>
        <w:jc w:val="center"/>
        <w:rPr>
          <w:rFonts w:eastAsia="方正小标宋简体"/>
          <w:sz w:val="44"/>
          <w:szCs w:val="44"/>
        </w:rPr>
      </w:pPr>
      <w:r>
        <w:rPr>
          <w:rFonts w:hint="eastAsia" w:eastAsia="方正小标宋简体"/>
          <w:sz w:val="44"/>
          <w:szCs w:val="44"/>
          <w:lang w:bidi="ar"/>
        </w:rPr>
        <w:t>有限公司</w:t>
      </w:r>
      <w:r>
        <w:rPr>
          <w:rFonts w:eastAsia="方正小标宋简体"/>
          <w:sz w:val="44"/>
          <w:szCs w:val="44"/>
          <w:lang w:bidi="ar"/>
        </w:rPr>
        <w:t>建设项目环境影响报告表的批复</w:t>
      </w:r>
    </w:p>
    <w:p w14:paraId="7628DA5D">
      <w:pPr>
        <w:rPr>
          <w:rFonts w:eastAsia="方正小标宋_GBK"/>
          <w:sz w:val="44"/>
          <w:szCs w:val="44"/>
        </w:rPr>
      </w:pPr>
    </w:p>
    <w:p w14:paraId="219286FD">
      <w:pPr>
        <w:keepNext w:val="0"/>
        <w:keepLines w:val="0"/>
        <w:pageBreakBefore w:val="0"/>
        <w:kinsoku/>
        <w:wordWrap/>
        <w:overflowPunct/>
        <w:topLinePunct w:val="0"/>
        <w:autoSpaceDE/>
        <w:autoSpaceDN/>
        <w:bidi w:val="0"/>
        <w:adjustRightInd/>
        <w:snapToGrid/>
        <w:spacing w:line="520" w:lineRule="exact"/>
        <w:textAlignment w:val="auto"/>
        <w:rPr>
          <w:rFonts w:hint="eastAsia" w:eastAsia="仿宋_GB2312"/>
          <w:sz w:val="32"/>
          <w:szCs w:val="32"/>
          <w:lang w:eastAsia="zh-CN"/>
        </w:rPr>
      </w:pPr>
      <w:r>
        <w:rPr>
          <w:rFonts w:hint="eastAsia" w:eastAsia="仿宋_GB2312"/>
          <w:sz w:val="32"/>
          <w:szCs w:val="32"/>
        </w:rPr>
        <w:t>广州市万全金属制品有限公司</w:t>
      </w:r>
      <w:r>
        <w:rPr>
          <w:rFonts w:eastAsia="仿宋_GB2312"/>
          <w:sz w:val="32"/>
          <w:szCs w:val="32"/>
        </w:rPr>
        <w:t>（</w:t>
      </w:r>
      <w:r>
        <w:rPr>
          <w:rFonts w:hint="eastAsia" w:eastAsia="仿宋_GB2312"/>
          <w:sz w:val="32"/>
          <w:szCs w:val="32"/>
        </w:rPr>
        <w:t>914401137837649116</w:t>
      </w:r>
      <w:r>
        <w:rPr>
          <w:rFonts w:hint="eastAsia" w:eastAsia="仿宋_GB2312"/>
          <w:sz w:val="32"/>
          <w:szCs w:val="32"/>
          <w:lang w:eastAsia="zh-CN"/>
        </w:rPr>
        <w:t>）：</w:t>
      </w:r>
    </w:p>
    <w:p w14:paraId="79A5400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你单位报送的《</w:t>
      </w:r>
      <w:r>
        <w:rPr>
          <w:rFonts w:hint="eastAsia" w:eastAsia="仿宋_GB2312"/>
          <w:sz w:val="32"/>
          <w:szCs w:val="32"/>
        </w:rPr>
        <w:t>广州市万全金属制品有限公司建设项目</w:t>
      </w:r>
      <w:r>
        <w:rPr>
          <w:rFonts w:eastAsia="仿宋_GB2312"/>
          <w:sz w:val="32"/>
          <w:szCs w:val="32"/>
        </w:rPr>
        <w:t>环境影响报告表》（以下简称《报告表》）及附送资料收悉。经研究，现批复如下：</w:t>
      </w:r>
    </w:p>
    <w:p w14:paraId="5D0B418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一、</w:t>
      </w:r>
      <w:r>
        <w:rPr>
          <w:rFonts w:hint="eastAsia" w:eastAsia="仿宋_GB2312"/>
          <w:color w:val="000000" w:themeColor="text1"/>
          <w:sz w:val="32"/>
          <w:szCs w:val="32"/>
          <w14:textFill>
            <w14:solidFill>
              <w14:schemeClr w14:val="tx1"/>
            </w14:solidFill>
          </w14:textFill>
        </w:rPr>
        <w:t>广州市万全金属制品有限公司</w:t>
      </w:r>
      <w:r>
        <w:rPr>
          <w:rFonts w:eastAsia="仿宋_GB2312"/>
          <w:color w:val="000000" w:themeColor="text1"/>
          <w:sz w:val="32"/>
          <w:szCs w:val="32"/>
          <w14:textFill>
            <w14:solidFill>
              <w14:schemeClr w14:val="tx1"/>
            </w14:solidFill>
          </w14:textFill>
        </w:rPr>
        <w:t>建设项目（以下简称“该项目”）位于</w:t>
      </w:r>
      <w:r>
        <w:rPr>
          <w:rFonts w:hint="eastAsia" w:eastAsia="仿宋_GB2312"/>
          <w:color w:val="000000" w:themeColor="text1"/>
          <w:sz w:val="32"/>
          <w:szCs w:val="32"/>
          <w14:textFill>
            <w14:solidFill>
              <w14:schemeClr w14:val="tx1"/>
            </w14:solidFill>
          </w14:textFill>
        </w:rPr>
        <w:t>广州</w:t>
      </w:r>
      <w:r>
        <w:rPr>
          <w:rFonts w:hint="eastAsia" w:eastAsia="仿宋_GB2312"/>
          <w:color w:val="000000" w:themeColor="text1"/>
          <w:sz w:val="32"/>
          <w:szCs w:val="32"/>
          <w:lang w:val="en-US" w:eastAsia="zh-CN"/>
          <w14:textFill>
            <w14:solidFill>
              <w14:schemeClr w14:val="tx1"/>
            </w14:solidFill>
          </w14:textFill>
        </w:rPr>
        <w:t>市</w:t>
      </w:r>
      <w:r>
        <w:rPr>
          <w:rFonts w:hint="eastAsia" w:eastAsia="仿宋_GB2312"/>
          <w:color w:val="000000" w:themeColor="text1"/>
          <w:sz w:val="32"/>
          <w:szCs w:val="32"/>
          <w14:textFill>
            <w14:solidFill>
              <w14:schemeClr w14:val="tx1"/>
            </w14:solidFill>
          </w14:textFill>
        </w:rPr>
        <w:t>番禺区石碁镇前锋村西龙大街12号</w:t>
      </w:r>
      <w:r>
        <w:rPr>
          <w:rFonts w:eastAsia="仿宋_GB2312"/>
          <w:color w:val="000000" w:themeColor="text1"/>
          <w:sz w:val="32"/>
          <w:szCs w:val="32"/>
          <w14:textFill>
            <w14:solidFill>
              <w14:schemeClr w14:val="tx1"/>
            </w14:solidFill>
          </w14:textFill>
        </w:rPr>
        <w:t>，申报内容为</w:t>
      </w:r>
      <w:r>
        <w:rPr>
          <w:rFonts w:hint="eastAsia" w:eastAsia="仿宋_GB2312"/>
          <w:color w:val="000000" w:themeColor="text1"/>
          <w:sz w:val="32"/>
          <w:szCs w:val="32"/>
          <w14:textFill>
            <w14:solidFill>
              <w14:schemeClr w14:val="tx1"/>
            </w14:solidFill>
          </w14:textFill>
        </w:rPr>
        <w:t>从事电梯配件生产，年产对重导轨脚架</w:t>
      </w:r>
      <w:r>
        <w:rPr>
          <w:rFonts w:hint="eastAsia" w:eastAsia="仿宋_GB2312"/>
          <w:color w:val="000000" w:themeColor="text1"/>
          <w:sz w:val="32"/>
          <w:szCs w:val="32"/>
          <w:lang w:val="en-US" w:eastAsia="zh-CN"/>
          <w14:textFill>
            <w14:solidFill>
              <w14:schemeClr w14:val="tx1"/>
            </w14:solidFill>
          </w14:textFill>
        </w:rPr>
        <w:t>30</w:t>
      </w:r>
      <w:r>
        <w:rPr>
          <w:rFonts w:hint="eastAsia" w:eastAsia="仿宋_GB2312"/>
          <w:color w:val="000000" w:themeColor="text1"/>
          <w:sz w:val="32"/>
          <w:szCs w:val="32"/>
          <w14:textFill>
            <w14:solidFill>
              <w14:schemeClr w14:val="tx1"/>
            </w14:solidFill>
          </w14:textFill>
        </w:rPr>
        <w:t>0万件、轿底</w:t>
      </w:r>
      <w:r>
        <w:rPr>
          <w:rFonts w:hint="eastAsia" w:eastAsia="仿宋_GB2312"/>
          <w:color w:val="000000" w:themeColor="text1"/>
          <w:sz w:val="32"/>
          <w:szCs w:val="32"/>
          <w:lang w:val="en-US" w:eastAsia="zh-CN"/>
          <w14:textFill>
            <w14:solidFill>
              <w14:schemeClr w14:val="tx1"/>
            </w14:solidFill>
          </w14:textFill>
        </w:rPr>
        <w:t>架5</w:t>
      </w:r>
      <w:r>
        <w:rPr>
          <w:rFonts w:hint="eastAsia" w:eastAsia="仿宋_GB2312"/>
          <w:color w:val="000000" w:themeColor="text1"/>
          <w:sz w:val="32"/>
          <w:szCs w:val="32"/>
          <w14:textFill>
            <w14:solidFill>
              <w14:schemeClr w14:val="tx1"/>
            </w14:solidFill>
          </w14:textFill>
        </w:rPr>
        <w:t>万件</w:t>
      </w:r>
      <w:r>
        <w:rPr>
          <w:rFonts w:eastAsia="仿宋_GB2312"/>
          <w:color w:val="000000" w:themeColor="text1"/>
          <w:sz w:val="32"/>
          <w:szCs w:val="32"/>
          <w14:textFill>
            <w14:solidFill>
              <w14:schemeClr w14:val="tx1"/>
            </w14:solidFill>
          </w14:textFill>
        </w:rPr>
        <w:t>。该项目占地面积</w:t>
      </w:r>
      <w:r>
        <w:rPr>
          <w:rFonts w:hint="eastAsia" w:eastAsia="仿宋_GB2312"/>
          <w:color w:val="000000" w:themeColor="text1"/>
          <w:sz w:val="32"/>
          <w:szCs w:val="32"/>
          <w:lang w:val="en-US" w:eastAsia="zh-CN"/>
          <w14:textFill>
            <w14:solidFill>
              <w14:schemeClr w14:val="tx1"/>
            </w14:solidFill>
          </w14:textFill>
        </w:rPr>
        <w:t>2046</w:t>
      </w:r>
      <w:r>
        <w:rPr>
          <w:rFonts w:eastAsia="仿宋_GB2312"/>
          <w:color w:val="000000" w:themeColor="text1"/>
          <w:sz w:val="32"/>
          <w:szCs w:val="32"/>
          <w14:textFill>
            <w14:solidFill>
              <w14:schemeClr w14:val="tx1"/>
            </w14:solidFill>
          </w14:textFill>
        </w:rPr>
        <w:t>平方米，总建筑面积</w:t>
      </w:r>
      <w:r>
        <w:rPr>
          <w:rFonts w:hint="eastAsia" w:eastAsia="仿宋_GB2312"/>
          <w:color w:val="000000" w:themeColor="text1"/>
          <w:sz w:val="32"/>
          <w:szCs w:val="32"/>
          <w:lang w:val="en-US" w:eastAsia="zh-CN"/>
          <w14:textFill>
            <w14:solidFill>
              <w14:schemeClr w14:val="tx1"/>
            </w14:solidFill>
          </w14:textFill>
        </w:rPr>
        <w:t>2046</w:t>
      </w:r>
      <w:r>
        <w:rPr>
          <w:rFonts w:eastAsia="仿宋_GB2312"/>
          <w:color w:val="000000" w:themeColor="text1"/>
          <w:sz w:val="32"/>
          <w:szCs w:val="32"/>
          <w14:textFill>
            <w14:solidFill>
              <w14:schemeClr w14:val="tx1"/>
            </w14:solidFill>
          </w14:textFill>
        </w:rPr>
        <w:t>平方米，</w:t>
      </w:r>
      <w:r>
        <w:rPr>
          <w:rFonts w:hint="eastAsia" w:eastAsia="仿宋_GB2312"/>
          <w:color w:val="000000" w:themeColor="text1"/>
          <w:sz w:val="32"/>
          <w:szCs w:val="32"/>
          <w:lang w:val="en-US" w:eastAsia="zh-CN"/>
          <w14:textFill>
            <w14:solidFill>
              <w14:schemeClr w14:val="tx1"/>
            </w14:solidFill>
          </w14:textFill>
        </w:rPr>
        <w:t>租用一栋单层厂房</w:t>
      </w:r>
      <w:r>
        <w:rPr>
          <w:rFonts w:eastAsia="仿宋_GB2312"/>
          <w:color w:val="000000" w:themeColor="text1"/>
          <w:sz w:val="32"/>
          <w:szCs w:val="32"/>
          <w14:textFill>
            <w14:solidFill>
              <w14:schemeClr w14:val="tx1"/>
            </w14:solidFill>
          </w14:textFill>
        </w:rPr>
        <w:t>；主要设备有</w:t>
      </w:r>
      <w:r>
        <w:rPr>
          <w:rFonts w:hint="eastAsia" w:eastAsia="仿宋_GB2312"/>
          <w:color w:val="000000" w:themeColor="text1"/>
          <w:sz w:val="32"/>
          <w:szCs w:val="32"/>
          <w:lang w:val="en-US" w:eastAsia="zh-CN"/>
          <w14:textFill>
            <w14:solidFill>
              <w14:schemeClr w14:val="tx1"/>
            </w14:solidFill>
          </w14:textFill>
        </w:rPr>
        <w:t>气动喷砂房1个、抛丸机2台、喷粉房1个（配喷枪2把）、面包炉1个、燃烧机2台、空压机2台及机加工设备一批等</w:t>
      </w:r>
      <w:r>
        <w:rPr>
          <w:rFonts w:eastAsia="仿宋_GB2312"/>
          <w:color w:val="000000" w:themeColor="text1"/>
          <w:sz w:val="32"/>
          <w:szCs w:val="32"/>
          <w14:textFill>
            <w14:solidFill>
              <w14:schemeClr w14:val="tx1"/>
            </w14:solidFill>
          </w14:textFill>
        </w:rPr>
        <w:t>；员工</w:t>
      </w:r>
      <w:r>
        <w:rPr>
          <w:rFonts w:hint="eastAsia" w:eastAsia="仿宋_GB2312"/>
          <w:color w:val="000000" w:themeColor="text1"/>
          <w:sz w:val="32"/>
          <w:szCs w:val="32"/>
          <w:lang w:val="en-US" w:eastAsia="zh-CN"/>
          <w14:textFill>
            <w14:solidFill>
              <w14:schemeClr w14:val="tx1"/>
            </w14:solidFill>
          </w14:textFill>
        </w:rPr>
        <w:t>30</w:t>
      </w:r>
      <w:r>
        <w:rPr>
          <w:rFonts w:eastAsia="仿宋_GB2312"/>
          <w:color w:val="000000" w:themeColor="text1"/>
          <w:sz w:val="32"/>
          <w:szCs w:val="32"/>
          <w14:textFill>
            <w14:solidFill>
              <w14:schemeClr w14:val="tx1"/>
            </w14:solidFill>
          </w14:textFill>
        </w:rPr>
        <w:t>名，内部</w:t>
      </w:r>
      <w:r>
        <w:rPr>
          <w:rFonts w:hint="eastAsia" w:eastAsia="仿宋_GB2312"/>
          <w:color w:val="000000" w:themeColor="text1"/>
          <w:sz w:val="32"/>
          <w:szCs w:val="32"/>
          <w:lang w:val="en-US" w:eastAsia="zh-CN"/>
          <w14:textFill>
            <w14:solidFill>
              <w14:schemeClr w14:val="tx1"/>
            </w14:solidFill>
          </w14:textFill>
        </w:rPr>
        <w:t>不</w:t>
      </w:r>
      <w:r>
        <w:rPr>
          <w:rFonts w:eastAsia="仿宋_GB2312"/>
          <w:color w:val="000000" w:themeColor="text1"/>
          <w:sz w:val="32"/>
          <w:szCs w:val="32"/>
          <w14:textFill>
            <w14:solidFill>
              <w14:schemeClr w14:val="tx1"/>
            </w14:solidFill>
          </w14:textFill>
        </w:rPr>
        <w:t>安排食宿。</w:t>
      </w:r>
    </w:p>
    <w:p w14:paraId="7EAA468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按照《报告表》的评价结论，在落实各项环境保护措施后，该项目产生的污染物及不良环境影响能够得到有效控制，从环境保护角度，在</w:t>
      </w:r>
      <w:r>
        <w:rPr>
          <w:rFonts w:hint="eastAsia" w:eastAsia="仿宋_GB2312"/>
          <w:sz w:val="32"/>
          <w:szCs w:val="32"/>
          <w:lang w:val="en-US" w:eastAsia="zh-CN"/>
        </w:rPr>
        <w:t>拟</w:t>
      </w:r>
      <w:r>
        <w:rPr>
          <w:rFonts w:eastAsia="仿宋_GB2312"/>
          <w:sz w:val="32"/>
          <w:szCs w:val="32"/>
        </w:rPr>
        <w:t>选址处建设可行。经审查，我局原则同意《报告表》评价结论。该项目应当按照《报告表》所述性质、规模、地点、生产工艺和环境保护措施进行建设。</w:t>
      </w:r>
    </w:p>
    <w:p w14:paraId="2D2E3F5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二、该项目各类污染物排放控制要求如下：</w:t>
      </w:r>
      <w:bookmarkStart w:id="0" w:name="_GoBack"/>
      <w:bookmarkEnd w:id="0"/>
    </w:p>
    <w:p w14:paraId="48C7698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（一）水污染物排放执行广东省《水污染物排放限值》（DB44/26-2001）第二时段</w:t>
      </w:r>
      <w:r>
        <w:rPr>
          <w:rFonts w:hint="eastAsia" w:eastAsia="仿宋_GB2312"/>
          <w:sz w:val="32"/>
          <w:szCs w:val="32"/>
          <w:lang w:val="en-US" w:eastAsia="zh-CN"/>
        </w:rPr>
        <w:t>三</w:t>
      </w:r>
      <w:r>
        <w:rPr>
          <w:rFonts w:eastAsia="仿宋_GB2312"/>
          <w:sz w:val="32"/>
          <w:szCs w:val="32"/>
        </w:rPr>
        <w:t>级标准。生活污水排放量不超过</w:t>
      </w:r>
      <w:r>
        <w:rPr>
          <w:rFonts w:hint="eastAsia" w:eastAsia="仿宋_GB2312"/>
          <w:sz w:val="32"/>
          <w:szCs w:val="32"/>
          <w:lang w:val="en-US" w:eastAsia="zh-CN"/>
        </w:rPr>
        <w:t>270</w:t>
      </w:r>
      <w:r>
        <w:rPr>
          <w:rFonts w:eastAsia="仿宋_GB2312"/>
          <w:sz w:val="32"/>
          <w:szCs w:val="32"/>
        </w:rPr>
        <w:t>吨/年。</w:t>
      </w:r>
    </w:p>
    <w:p w14:paraId="499C0AE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（二）</w:t>
      </w:r>
      <w:r>
        <w:rPr>
          <w:rFonts w:hint="eastAsia" w:eastAsia="仿宋_GB2312"/>
          <w:sz w:val="32"/>
          <w:szCs w:val="32"/>
          <w:lang w:val="en-US" w:eastAsia="zh-CN"/>
        </w:rPr>
        <w:t>挥发性有机物</w:t>
      </w:r>
      <w:r>
        <w:rPr>
          <w:rFonts w:hint="eastAsia" w:eastAsia="仿宋_GB2312"/>
          <w:sz w:val="32"/>
          <w:szCs w:val="32"/>
        </w:rPr>
        <w:t>排放执行广东省《固定污染源挥发性有机物综合排放标准》（DB44/2367-2022）表1挥发性有机物排放限值和表3厂区内VOCs无组织排放限值；其他大气污染物排放执行广东省《大气污染物排放限值》（DB44/27-2001）第二时段二级标准及无组织排放监控浓度限值。氮氧化物排放量不超过</w:t>
      </w:r>
      <w:r>
        <w:rPr>
          <w:rFonts w:hint="eastAsia" w:eastAsia="仿宋_GB2312"/>
          <w:sz w:val="32"/>
          <w:szCs w:val="32"/>
          <w:lang w:val="en-US" w:eastAsia="zh-CN"/>
        </w:rPr>
        <w:t>0.333</w:t>
      </w:r>
      <w:r>
        <w:rPr>
          <w:rFonts w:hint="eastAsia" w:eastAsia="仿宋_GB2312"/>
          <w:sz w:val="32"/>
          <w:szCs w:val="32"/>
        </w:rPr>
        <w:t>吨/年。</w:t>
      </w:r>
    </w:p>
    <w:p w14:paraId="18E483C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（三）</w:t>
      </w:r>
      <w:r>
        <w:rPr>
          <w:rFonts w:hint="eastAsia" w:eastAsia="仿宋_GB2312"/>
          <w:color w:val="000000" w:themeColor="text1"/>
          <w:sz w:val="32"/>
          <w:szCs w:val="32"/>
          <w14:textFill>
            <w14:solidFill>
              <w14:schemeClr w14:val="tx1"/>
            </w14:solidFill>
          </w14:textFill>
        </w:rPr>
        <w:t>边界噪声排放执行《工业企业厂界环境噪声排放标准》（GB12348-2008）</w:t>
      </w:r>
      <w:r>
        <w:rPr>
          <w:rFonts w:hint="eastAsia" w:eastAsia="仿宋_GB2312"/>
          <w:color w:val="000000" w:themeColor="text1"/>
          <w:sz w:val="32"/>
          <w:szCs w:val="32"/>
          <w:lang w:val="en-US" w:eastAsia="zh-CN"/>
          <w14:textFill>
            <w14:solidFill>
              <w14:schemeClr w14:val="tx1"/>
            </w14:solidFill>
          </w14:textFill>
        </w:rPr>
        <w:t>3</w:t>
      </w:r>
      <w:r>
        <w:rPr>
          <w:rFonts w:hint="eastAsia" w:eastAsia="仿宋_GB2312"/>
          <w:color w:val="000000" w:themeColor="text1"/>
          <w:sz w:val="32"/>
          <w:szCs w:val="32"/>
          <w14:textFill>
            <w14:solidFill>
              <w14:schemeClr w14:val="tx1"/>
            </w14:solidFill>
          </w14:textFill>
        </w:rPr>
        <w:t>类区限值，即：昼间≤6</w:t>
      </w:r>
      <w:r>
        <w:rPr>
          <w:rFonts w:hint="eastAsia" w:eastAsia="仿宋_GB2312"/>
          <w:color w:val="000000" w:themeColor="text1"/>
          <w:sz w:val="32"/>
          <w:szCs w:val="32"/>
          <w:lang w:val="en-US" w:eastAsia="zh-CN"/>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dB（A），夜间≤5</w:t>
      </w:r>
      <w:r>
        <w:rPr>
          <w:rFonts w:hint="eastAsia" w:eastAsia="仿宋_GB2312"/>
          <w:color w:val="000000" w:themeColor="text1"/>
          <w:sz w:val="32"/>
          <w:szCs w:val="32"/>
          <w:lang w:val="en-US" w:eastAsia="zh-CN"/>
          <w14:textFill>
            <w14:solidFill>
              <w14:schemeClr w14:val="tx1"/>
            </w14:solidFill>
          </w14:textFill>
        </w:rPr>
        <w:t>5</w:t>
      </w:r>
      <w:r>
        <w:rPr>
          <w:rFonts w:hint="eastAsia" w:eastAsia="仿宋_GB2312"/>
          <w:color w:val="000000" w:themeColor="text1"/>
          <w:sz w:val="32"/>
          <w:szCs w:val="32"/>
          <w14:textFill>
            <w14:solidFill>
              <w14:schemeClr w14:val="tx1"/>
            </w14:solidFill>
          </w14:textFill>
        </w:rPr>
        <w:t>dB（A）。</w:t>
      </w:r>
    </w:p>
    <w:p w14:paraId="758427D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三、该项目应当认真落实《报告表》提出的各项环境保护措施，重点做好以下工作：</w:t>
      </w:r>
    </w:p>
    <w:p w14:paraId="1C8A0A6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（一）</w:t>
      </w:r>
      <w:r>
        <w:rPr>
          <w:rFonts w:hint="eastAsia" w:eastAsia="仿宋_GB2312"/>
          <w:color w:val="000000" w:themeColor="text1"/>
          <w:sz w:val="32"/>
          <w:szCs w:val="32"/>
          <w:lang w:val="en-US" w:eastAsia="zh-CN"/>
          <w14:textFill>
            <w14:solidFill>
              <w14:schemeClr w14:val="tx1"/>
            </w14:solidFill>
          </w14:textFill>
        </w:rPr>
        <w:t>排水系统采用雨污分流。喷淋塔废水循环使用，定期更换交由有处理能力的单位处理。生活污水经三级化粪池预处理后排入市政集污管网，送前锋净水厂集中处理。</w:t>
      </w:r>
      <w:r>
        <w:rPr>
          <w:rFonts w:eastAsia="仿宋_GB2312"/>
          <w:color w:val="000000" w:themeColor="text1"/>
          <w:sz w:val="32"/>
          <w:szCs w:val="32"/>
          <w14:textFill>
            <w14:solidFill>
              <w14:schemeClr w14:val="tx1"/>
            </w14:solidFill>
          </w14:textFill>
        </w:rPr>
        <w:t>项目设置</w:t>
      </w:r>
      <w:r>
        <w:rPr>
          <w:rFonts w:hint="eastAsia" w:eastAsia="仿宋_GB2312"/>
          <w:color w:val="000000" w:themeColor="text1"/>
          <w:sz w:val="32"/>
          <w:szCs w:val="32"/>
          <w:lang w:val="en-US" w:eastAsia="zh-CN"/>
          <w14:textFill>
            <w14:solidFill>
              <w14:schemeClr w14:val="tx1"/>
            </w14:solidFill>
          </w14:textFill>
        </w:rPr>
        <w:t>生活污水排放口1</w:t>
      </w:r>
      <w:r>
        <w:rPr>
          <w:rFonts w:eastAsia="仿宋_GB2312"/>
          <w:color w:val="000000" w:themeColor="text1"/>
          <w:sz w:val="32"/>
          <w:szCs w:val="32"/>
          <w14:textFill>
            <w14:solidFill>
              <w14:schemeClr w14:val="tx1"/>
            </w14:solidFill>
          </w14:textFill>
        </w:rPr>
        <w:t>个。</w:t>
      </w:r>
    </w:p>
    <w:p w14:paraId="0F089DB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eastAsia="仿宋_GB2312"/>
          <w:sz w:val="32"/>
          <w:szCs w:val="32"/>
          <w:lang w:val="en-US" w:eastAsia="zh-CN"/>
        </w:rPr>
      </w:pPr>
      <w:r>
        <w:rPr>
          <w:rFonts w:eastAsia="仿宋_GB2312"/>
          <w:sz w:val="32"/>
          <w:szCs w:val="32"/>
        </w:rPr>
        <w:t>（二）项目应严格执行广东省《固定污染源挥发性有机物综合排放标准》（DB44/2367-2022）的各项控制</w:t>
      </w:r>
      <w:r>
        <w:rPr>
          <w:rFonts w:eastAsia="仿宋_GB2312"/>
          <w:color w:val="000000" w:themeColor="text1"/>
          <w:sz w:val="32"/>
          <w:szCs w:val="32"/>
          <w14:textFill>
            <w14:solidFill>
              <w14:schemeClr w14:val="tx1"/>
            </w14:solidFill>
          </w14:textFill>
        </w:rPr>
        <w:t>要求</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lang w:val="en-US" w:eastAsia="zh-CN"/>
          <w14:textFill>
            <w14:solidFill>
              <w14:schemeClr w14:val="tx1"/>
            </w14:solidFill>
          </w14:textFill>
        </w:rPr>
        <w:t>固化工序使用管道天然气为燃料。切割、打磨产生的粉尘和抛丸粉尘分别收集至布袋除</w:t>
      </w:r>
      <w:r>
        <w:rPr>
          <w:rFonts w:hint="eastAsia" w:eastAsia="仿宋_GB2312"/>
          <w:sz w:val="32"/>
          <w:szCs w:val="32"/>
          <w:lang w:val="en-US" w:eastAsia="zh-CN"/>
        </w:rPr>
        <w:t>尘设施处理后无组织排放；焊接烟尘收集至焊烟净化器处理后无组织排放；喷砂粉尘密闭收集至脉冲除尘系统处理后无组织排放；喷粉粉尘密闭收集至滤芯过滤器处理后无组织排放。</w:t>
      </w:r>
      <w:r>
        <w:rPr>
          <w:rFonts w:hint="eastAsia" w:eastAsia="仿宋_GB2312"/>
          <w:sz w:val="32"/>
          <w:szCs w:val="32"/>
        </w:rPr>
        <w:t>固化废气</w:t>
      </w:r>
      <w:r>
        <w:rPr>
          <w:rFonts w:hint="eastAsia" w:eastAsia="仿宋_GB2312"/>
          <w:sz w:val="32"/>
          <w:szCs w:val="32"/>
          <w:lang w:val="en-US" w:eastAsia="zh-CN"/>
        </w:rPr>
        <w:t>与</w:t>
      </w:r>
      <w:r>
        <w:rPr>
          <w:rFonts w:hint="eastAsia" w:eastAsia="仿宋_GB2312"/>
          <w:sz w:val="32"/>
          <w:szCs w:val="32"/>
        </w:rPr>
        <w:t>天然气燃烧尾气</w:t>
      </w:r>
      <w:r>
        <w:rPr>
          <w:rFonts w:hint="eastAsia" w:eastAsia="仿宋_GB2312"/>
          <w:sz w:val="32"/>
          <w:szCs w:val="32"/>
          <w:lang w:val="en-US" w:eastAsia="zh-CN"/>
        </w:rPr>
        <w:t>一并收集至</w:t>
      </w:r>
      <w:r>
        <w:rPr>
          <w:rFonts w:hint="eastAsia" w:eastAsia="仿宋_GB2312"/>
          <w:sz w:val="32"/>
          <w:szCs w:val="32"/>
        </w:rPr>
        <w:t>“水喷淋+干式除雾器+二级活性炭吸附”</w:t>
      </w:r>
      <w:r>
        <w:rPr>
          <w:rFonts w:hint="eastAsia" w:eastAsia="仿宋_GB2312"/>
          <w:sz w:val="32"/>
          <w:szCs w:val="32"/>
          <w:lang w:val="en-US" w:eastAsia="zh-CN"/>
        </w:rPr>
        <w:t>处理后</w:t>
      </w:r>
      <w:r>
        <w:rPr>
          <w:rFonts w:hint="eastAsia" w:ascii="仿宋_GB2312" w:eastAsia="仿宋_GB2312"/>
          <w:sz w:val="32"/>
          <w:szCs w:val="32"/>
        </w:rPr>
        <w:t>引至</w:t>
      </w:r>
      <w:r>
        <w:rPr>
          <w:rFonts w:hint="eastAsia" w:ascii="仿宋_GB2312" w:eastAsia="仿宋_GB2312"/>
          <w:sz w:val="32"/>
          <w:szCs w:val="32"/>
          <w:lang w:val="en-US" w:eastAsia="zh-CN"/>
        </w:rPr>
        <w:t>所在建筑物楼顶高空排放，排气筒高度</w:t>
      </w:r>
      <w:r>
        <w:rPr>
          <w:rFonts w:hint="eastAsia" w:ascii="仿宋_GB2312" w:eastAsia="仿宋_GB2312"/>
          <w:sz w:val="32"/>
          <w:szCs w:val="32"/>
        </w:rPr>
        <w:t>不低于15米。项目设置废气排放口</w:t>
      </w:r>
      <w:r>
        <w:rPr>
          <w:rFonts w:hint="eastAsia" w:ascii="仿宋_GB2312" w:eastAsia="仿宋_GB2312"/>
          <w:sz w:val="32"/>
          <w:szCs w:val="32"/>
          <w:lang w:val="en-US" w:eastAsia="zh-CN"/>
        </w:rPr>
        <w:t>1</w:t>
      </w:r>
      <w:r>
        <w:rPr>
          <w:rFonts w:hint="eastAsia" w:ascii="仿宋_GB2312" w:eastAsia="仿宋_GB2312"/>
          <w:sz w:val="32"/>
          <w:szCs w:val="32"/>
        </w:rPr>
        <w:t>个</w:t>
      </w:r>
      <w:r>
        <w:rPr>
          <w:rFonts w:hint="eastAsia" w:ascii="仿宋_GB2312" w:eastAsia="仿宋_GB2312"/>
          <w:sz w:val="32"/>
          <w:szCs w:val="32"/>
          <w:lang w:eastAsia="zh-CN"/>
        </w:rPr>
        <w:t>。</w:t>
      </w:r>
    </w:p>
    <w:p w14:paraId="48828D9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加强车间边界无组织排放废气的监控，确保车间边界无组织排放监控点的废气达到相应标准限值的要求，监测超标时应对无组织排放废气进行收集、净化处理。</w:t>
      </w:r>
    </w:p>
    <w:p w14:paraId="295915F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（三）选用低噪声设备，合理布设生产车间，对噪声源采取隔声、减振等措施，定期检修设备。</w:t>
      </w:r>
    </w:p>
    <w:p w14:paraId="3103D36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（四）</w:t>
      </w:r>
      <w:r>
        <w:rPr>
          <w:rFonts w:hint="eastAsia" w:eastAsia="仿宋_GB2312"/>
          <w:color w:val="000000" w:themeColor="text1"/>
          <w:sz w:val="32"/>
          <w:szCs w:val="32"/>
          <w14:textFill>
            <w14:solidFill>
              <w14:schemeClr w14:val="tx1"/>
            </w14:solidFill>
          </w14:textFill>
        </w:rPr>
        <w:t>废润滑油</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废润滑油桶</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含油废抹布、废活性炭</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喷淋塔废水</w:t>
      </w:r>
      <w:r>
        <w:rPr>
          <w:rFonts w:hint="eastAsia" w:eastAsia="仿宋_GB2312"/>
          <w:color w:val="000000" w:themeColor="text1"/>
          <w:sz w:val="32"/>
          <w:szCs w:val="32"/>
          <w:lang w:val="en-US" w:eastAsia="zh-CN"/>
          <w14:textFill>
            <w14:solidFill>
              <w14:schemeClr w14:val="tx1"/>
            </w14:solidFill>
          </w14:textFill>
        </w:rPr>
        <w:t>等</w:t>
      </w:r>
      <w:r>
        <w:rPr>
          <w:rFonts w:eastAsia="仿宋_GB2312"/>
          <w:color w:val="000000" w:themeColor="text1"/>
          <w:sz w:val="32"/>
          <w:szCs w:val="32"/>
          <w14:textFill>
            <w14:solidFill>
              <w14:schemeClr w14:val="tx1"/>
            </w14:solidFill>
          </w14:textFill>
        </w:rPr>
        <w:t>属于危险废物的须设置符合《危险废物贮存污染控制标准》（GB18597-2023）要求的专用贮存场所存放并委托具备危险废物处理资质的机构处理。</w:t>
      </w:r>
    </w:p>
    <w:p w14:paraId="314399C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四、该项目的性质、规模、地点、采用的生产工艺或者防治污染、防止生态破坏的措施发生重大变动的，你单位应当重新报批环境影响评价文件。</w:t>
      </w:r>
    </w:p>
    <w:p w14:paraId="053F128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五、自《报告表》批准之日起超过五年，方决定该项目开工建设的，《报告表》应当在开工建设前报我局重新审核。未经我局重新审核同意的，不得擅自开工建设。</w:t>
      </w:r>
    </w:p>
    <w:p w14:paraId="0938CE7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六、该项目建设应严格执行配套建设的环境保护设施与主体工程同时设计、同时施工、同时投产使用的环境保护“三同时”制度，具体要求如下：</w:t>
      </w:r>
    </w:p>
    <w:p w14:paraId="16151FCE">
      <w:pPr>
        <w:keepNext w:val="0"/>
        <w:keepLines w:val="0"/>
        <w:pageBreakBefore w:val="0"/>
        <w:widowControl/>
        <w:tabs>
          <w:tab w:val="left" w:pos="1418"/>
        </w:tabs>
        <w:kinsoku/>
        <w:wordWrap/>
        <w:overflowPunct/>
        <w:topLinePunct w:val="0"/>
        <w:autoSpaceDE/>
        <w:autoSpaceDN/>
        <w:bidi w:val="0"/>
        <w:adjustRightInd/>
        <w:snapToGrid/>
        <w:spacing w:line="520" w:lineRule="exact"/>
        <w:textAlignment w:val="auto"/>
        <w:rPr>
          <w:rFonts w:eastAsia="仿宋_GB2312"/>
          <w:sz w:val="32"/>
          <w:szCs w:val="32"/>
        </w:rPr>
      </w:pPr>
      <w:r>
        <w:rPr>
          <w:rFonts w:eastAsia="仿宋_GB2312"/>
          <w:sz w:val="32"/>
          <w:szCs w:val="32"/>
        </w:rPr>
        <w:t xml:space="preserve">    （一）项目竣工后，你单位应按规定申请取得排污许可证或填报排污登记表，并按照规定的标准、程序和时限，对配套建设的环境保护设施进行验收，编制验收报告，依法向社会公开。</w:t>
      </w:r>
    </w:p>
    <w:p w14:paraId="4281525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（二）项目配套建设的环境保护设施经验收合格后，方可投入生产或者使用。</w:t>
      </w:r>
    </w:p>
    <w:p w14:paraId="53C6CDC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sz w:val="32"/>
          <w:szCs w:val="32"/>
        </w:rPr>
      </w:pPr>
      <w:r>
        <w:rPr>
          <w:rFonts w:eastAsia="仿宋_GB2312"/>
          <w:sz w:val="32"/>
          <w:szCs w:val="32"/>
        </w:rPr>
        <w:t>七、该项目建设和运行过程中如涉及规划、土地利用、建设、水务、消防、安全等问题，应遵照相关法律法规要求到相应的行政主管部门办理有关手续。</w:t>
      </w:r>
    </w:p>
    <w:p w14:paraId="1C19C95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
        </w:rPr>
      </w:pPr>
      <w:r>
        <w:rPr>
          <w:rFonts w:eastAsia="仿宋_GB2312"/>
          <w:sz w:val="32"/>
          <w:szCs w:val="32"/>
        </w:rPr>
        <w:t>八、</w:t>
      </w:r>
      <w:r>
        <w:rPr>
          <w:rFonts w:eastAsia="仿宋"/>
          <w:sz w:val="32"/>
          <w:szCs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4A468BD">
      <w:pPr>
        <w:keepNext w:val="0"/>
        <w:keepLines w:val="0"/>
        <w:pageBreakBefore w:val="0"/>
        <w:kinsoku/>
        <w:wordWrap/>
        <w:overflowPunct/>
        <w:topLinePunct w:val="0"/>
        <w:autoSpaceDE/>
        <w:autoSpaceDN/>
        <w:bidi w:val="0"/>
        <w:adjustRightInd/>
        <w:snapToGrid/>
        <w:spacing w:line="520" w:lineRule="exact"/>
        <w:textAlignment w:val="auto"/>
        <w:rPr>
          <w:rFonts w:eastAsia="仿宋_GB2312"/>
          <w:sz w:val="32"/>
          <w:szCs w:val="32"/>
        </w:rPr>
      </w:pPr>
    </w:p>
    <w:p w14:paraId="01E4551E">
      <w:pPr>
        <w:keepNext w:val="0"/>
        <w:keepLines w:val="0"/>
        <w:pageBreakBefore w:val="0"/>
        <w:kinsoku/>
        <w:wordWrap/>
        <w:overflowPunct/>
        <w:topLinePunct w:val="0"/>
        <w:autoSpaceDE/>
        <w:autoSpaceDN/>
        <w:bidi w:val="0"/>
        <w:adjustRightInd/>
        <w:snapToGrid/>
        <w:spacing w:line="520" w:lineRule="exact"/>
        <w:textAlignment w:val="auto"/>
        <w:rPr>
          <w:rFonts w:eastAsia="仿宋_GB2312"/>
          <w:sz w:val="32"/>
          <w:szCs w:val="32"/>
        </w:rPr>
      </w:pPr>
    </w:p>
    <w:p w14:paraId="6F4697DD">
      <w:pPr>
        <w:keepNext w:val="0"/>
        <w:keepLines w:val="0"/>
        <w:pageBreakBefore w:val="0"/>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756DFED5">
      <w:pPr>
        <w:keepNext w:val="0"/>
        <w:keepLines w:val="0"/>
        <w:pageBreakBefore w:val="0"/>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r>
        <w:rPr>
          <w:rFonts w:eastAsia="仿宋_GB2312"/>
          <w:sz w:val="32"/>
          <w:szCs w:val="32"/>
        </w:rPr>
        <w:t xml:space="preserve">    广州市生态环境局</w:t>
      </w:r>
    </w:p>
    <w:p w14:paraId="0D966035">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r>
        <w:rPr>
          <w:rFonts w:eastAsia="仿宋_GB2312"/>
          <w:sz w:val="32"/>
          <w:szCs w:val="32"/>
        </w:rPr>
        <w:t xml:space="preserve">     202</w:t>
      </w:r>
      <w:r>
        <w:rPr>
          <w:rFonts w:hint="eastAsia" w:eastAsia="仿宋_GB2312"/>
          <w:sz w:val="32"/>
          <w:szCs w:val="32"/>
          <w:lang w:val="en-US" w:eastAsia="zh-CN"/>
        </w:rPr>
        <w:t>5</w:t>
      </w:r>
      <w:r>
        <w:rPr>
          <w:rFonts w:eastAsia="仿宋_GB2312"/>
          <w:sz w:val="32"/>
          <w:szCs w:val="32"/>
        </w:rPr>
        <w:t>年</w:t>
      </w:r>
      <w:r>
        <w:rPr>
          <w:rFonts w:hint="eastAsia" w:eastAsia="仿宋_GB2312"/>
          <w:sz w:val="32"/>
          <w:szCs w:val="32"/>
          <w:lang w:val="en-US" w:eastAsia="zh-CN"/>
        </w:rPr>
        <w:t>7</w:t>
      </w:r>
      <w:r>
        <w:rPr>
          <w:rFonts w:eastAsia="仿宋_GB2312"/>
          <w:sz w:val="32"/>
          <w:szCs w:val="32"/>
        </w:rPr>
        <w:t>月</w:t>
      </w:r>
      <w:r>
        <w:rPr>
          <w:rFonts w:hint="eastAsia" w:eastAsia="仿宋_GB2312"/>
          <w:sz w:val="32"/>
          <w:szCs w:val="32"/>
          <w:lang w:val="en-US" w:eastAsia="zh-CN"/>
        </w:rPr>
        <w:t>1</w:t>
      </w:r>
      <w:r>
        <w:rPr>
          <w:rFonts w:eastAsia="仿宋_GB2312"/>
          <w:sz w:val="32"/>
          <w:szCs w:val="32"/>
        </w:rPr>
        <w:t>日</w:t>
      </w:r>
    </w:p>
    <w:p w14:paraId="20CA4E9A">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58033F2A">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1EDAE5E5">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1BFC9D7B">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2680DD4A">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00AF50B3">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68FF090D">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4D2824CC">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0ACB15AA">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07C3A574">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ind w:firstLine="4480" w:firstLineChars="1400"/>
        <w:textAlignment w:val="auto"/>
        <w:rPr>
          <w:rFonts w:eastAsia="仿宋_GB2312"/>
          <w:sz w:val="32"/>
          <w:szCs w:val="32"/>
        </w:rPr>
      </w:pPr>
    </w:p>
    <w:p w14:paraId="5BBF1651">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textAlignment w:val="auto"/>
        <w:rPr>
          <w:rFonts w:eastAsia="仿宋_GB2312"/>
          <w:sz w:val="32"/>
          <w:szCs w:val="32"/>
        </w:rPr>
      </w:pPr>
    </w:p>
    <w:p w14:paraId="6300D4AE">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textAlignment w:val="auto"/>
        <w:rPr>
          <w:rFonts w:eastAsia="仿宋_GB2312"/>
          <w:sz w:val="32"/>
          <w:szCs w:val="32"/>
        </w:rPr>
      </w:pPr>
    </w:p>
    <w:p w14:paraId="3D5877BE">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textAlignment w:val="auto"/>
        <w:rPr>
          <w:rFonts w:hint="eastAsia" w:eastAsia="仿宋_GB2312"/>
          <w:sz w:val="32"/>
          <w:szCs w:val="32"/>
          <w:lang w:eastAsia="zh-CN"/>
        </w:rPr>
      </w:pPr>
    </w:p>
    <w:p w14:paraId="34698CDC">
      <w:pPr>
        <w:keepNext w:val="0"/>
        <w:keepLines w:val="0"/>
        <w:pageBreakBefore w:val="0"/>
        <w:tabs>
          <w:tab w:val="left" w:pos="7371"/>
          <w:tab w:val="left" w:pos="7655"/>
          <w:tab w:val="left" w:pos="7797"/>
        </w:tabs>
        <w:kinsoku/>
        <w:wordWrap/>
        <w:overflowPunct/>
        <w:topLinePunct w:val="0"/>
        <w:autoSpaceDE/>
        <w:autoSpaceDN/>
        <w:bidi w:val="0"/>
        <w:adjustRightInd/>
        <w:snapToGrid/>
        <w:spacing w:line="520" w:lineRule="exact"/>
        <w:textAlignment w:val="auto"/>
        <w:rPr>
          <w:rFonts w:hint="eastAsia" w:eastAsia="仿宋_GB2312"/>
          <w:sz w:val="32"/>
          <w:szCs w:val="32"/>
          <w:lang w:eastAsia="zh-CN"/>
        </w:rPr>
      </w:pPr>
    </w:p>
    <w:p w14:paraId="24C68EA6">
      <w:pPr>
        <w:keepNext w:val="0"/>
        <w:keepLines w:val="0"/>
        <w:pageBreakBefore w:val="0"/>
        <w:kinsoku/>
        <w:wordWrap/>
        <w:overflowPunct/>
        <w:topLinePunct w:val="0"/>
        <w:autoSpaceDE/>
        <w:autoSpaceDN/>
        <w:bidi w:val="0"/>
        <w:adjustRightInd/>
        <w:snapToGrid/>
        <w:spacing w:line="520" w:lineRule="exact"/>
        <w:textAlignment w:val="auto"/>
        <w:rPr>
          <w:rFonts w:eastAsia="仿宋_GB2312"/>
          <w:sz w:val="32"/>
          <w:szCs w:val="32"/>
        </w:rPr>
      </w:pPr>
      <w:r>
        <w:rPr>
          <w:rFonts w:eastAsia="黑体"/>
          <w:sz w:val="32"/>
          <w:szCs w:val="32"/>
        </w:rPr>
        <w:t>公开方式：</w:t>
      </w:r>
      <w:r>
        <w:rPr>
          <w:rFonts w:eastAsia="仿宋_GB2312"/>
          <w:sz w:val="32"/>
          <w:szCs w:val="32"/>
        </w:rPr>
        <w:t>主动公开</w:t>
      </w:r>
    </w:p>
    <w:p w14:paraId="33AC4A56">
      <w:pPr>
        <w:keepNext w:val="0"/>
        <w:keepLines w:val="0"/>
        <w:pageBreakBefore w:val="0"/>
        <w:kinsoku/>
        <w:wordWrap/>
        <w:overflowPunct/>
        <w:topLinePunct w:val="0"/>
        <w:autoSpaceDE/>
        <w:autoSpaceDN/>
        <w:bidi w:val="0"/>
        <w:adjustRightInd/>
        <w:snapToGrid/>
        <w:spacing w:line="520" w:lineRule="exact"/>
        <w:textAlignment w:val="auto"/>
        <w:rPr>
          <w:rFonts w:eastAsia="仿宋_GB2312"/>
          <w:sz w:val="32"/>
          <w:szCs w:val="32"/>
        </w:rPr>
      </w:pPr>
    </w:p>
    <w:p w14:paraId="354D7350">
      <w:pPr>
        <w:keepNext w:val="0"/>
        <w:keepLines w:val="0"/>
        <w:pageBreakBefore w:val="0"/>
        <w:kinsoku/>
        <w:wordWrap/>
        <w:overflowPunct/>
        <w:topLinePunct w:val="0"/>
        <w:autoSpaceDE/>
        <w:autoSpaceDN/>
        <w:bidi w:val="0"/>
        <w:adjustRightInd/>
        <w:snapToGrid/>
        <w:spacing w:line="520" w:lineRule="exact"/>
        <w:ind w:left="1133" w:leftChars="201" w:hanging="711" w:hangingChars="254"/>
        <w:textAlignment w:val="auto"/>
        <w:rPr>
          <w:rFonts w:eastAsia="仿宋_GB2312"/>
          <w:sz w:val="28"/>
          <w:szCs w:val="28"/>
        </w:rPr>
      </w:pPr>
      <w:r>
        <w:rPr>
          <w:rFonts w:eastAsia="仿宋_GB2312"/>
          <w:sz w:val="28"/>
          <w:szCs w:val="28"/>
        </w:rPr>
        <w:t>抄送：广州市生态环境局番禺分局执法</w:t>
      </w:r>
      <w:r>
        <w:rPr>
          <w:rFonts w:hint="eastAsia" w:eastAsia="仿宋_GB2312"/>
          <w:sz w:val="32"/>
          <w:szCs w:val="32"/>
          <w:lang w:val="en-US" w:eastAsia="zh-CN"/>
        </w:rPr>
        <w:t>二</w:t>
      </w:r>
      <w:r>
        <w:rPr>
          <w:rFonts w:eastAsia="仿宋_GB2312"/>
          <w:sz w:val="28"/>
          <w:szCs w:val="28"/>
        </w:rPr>
        <w:t>科、番禺第</w:t>
      </w:r>
      <w:r>
        <w:rPr>
          <w:rFonts w:hint="eastAsia" w:eastAsia="仿宋_GB2312"/>
          <w:sz w:val="28"/>
          <w:szCs w:val="28"/>
          <w:lang w:val="en-US" w:eastAsia="zh-CN"/>
        </w:rPr>
        <w:t>四</w:t>
      </w:r>
      <w:r>
        <w:rPr>
          <w:rFonts w:eastAsia="仿宋_GB2312"/>
          <w:sz w:val="28"/>
          <w:szCs w:val="28"/>
        </w:rPr>
        <w:t>环保所，</w:t>
      </w:r>
      <w:r>
        <w:rPr>
          <w:rFonts w:hint="eastAsia" w:eastAsia="仿宋_GB2312"/>
          <w:sz w:val="28"/>
          <w:szCs w:val="28"/>
        </w:rPr>
        <w:t>广州市碧航环保技术有限公司</w:t>
      </w:r>
      <w:r>
        <w:rPr>
          <w:rFonts w:eastAsia="仿宋_GB2312"/>
          <w:sz w:val="28"/>
          <w:szCs w:val="28"/>
        </w:rPr>
        <w:t>。</w:t>
      </w:r>
    </w:p>
    <w:sectPr>
      <w:footerReference r:id="rId3" w:type="default"/>
      <w:footerReference r:id="rId4" w:type="even"/>
      <w:pgSz w:w="11906" w:h="16838"/>
      <w:pgMar w:top="1587" w:right="1474" w:bottom="1134" w:left="1588" w:header="851" w:footer="624" w:gutter="0"/>
      <w:cols w:space="720"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宋体"/>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6FC37">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Fonts w:ascii="宋体" w:hAnsi="宋体"/>
        <w:sz w:val="28"/>
        <w:szCs w:val="28"/>
      </w:rPr>
      <w:fldChar w:fldCharType="begin"/>
    </w:r>
    <w:r>
      <w:rPr>
        <w:rStyle w:val="9"/>
        <w:rFonts w:ascii="宋体" w:hAnsi="宋体"/>
        <w:sz w:val="28"/>
        <w:szCs w:val="28"/>
      </w:rPr>
      <w:instrText xml:space="preserve">PAGE  </w:instrText>
    </w:r>
    <w:r>
      <w:rPr>
        <w:rFonts w:ascii="宋体" w:hAnsi="宋体"/>
        <w:sz w:val="28"/>
        <w:szCs w:val="28"/>
      </w:rPr>
      <w:fldChar w:fldCharType="separate"/>
    </w:r>
    <w:r>
      <w:rPr>
        <w:rStyle w:val="9"/>
        <w:rFonts w:ascii="宋体" w:hAnsi="宋体"/>
        <w:sz w:val="28"/>
        <w:szCs w:val="28"/>
      </w:rPr>
      <w:t>5</w:t>
    </w:r>
    <w:r>
      <w:rPr>
        <w:rFonts w:ascii="宋体" w:hAnsi="宋体"/>
        <w:sz w:val="28"/>
        <w:szCs w:val="28"/>
      </w:rPr>
      <w:fldChar w:fldCharType="end"/>
    </w:r>
    <w:r>
      <w:rPr>
        <w:rStyle w:val="9"/>
        <w:rFonts w:hint="eastAsia" w:ascii="宋体" w:hAnsi="宋体"/>
        <w:sz w:val="28"/>
        <w:szCs w:val="28"/>
      </w:rPr>
      <w:t xml:space="preserve"> —</w:t>
    </w:r>
  </w:p>
  <w:p w14:paraId="6E014F68">
    <w:pPr>
      <w:pStyle w:val="4"/>
      <w:ind w:right="360" w:firstLine="360"/>
      <w:jc w:val="center"/>
      <w:rPr>
        <w:sz w:val="28"/>
        <w:szCs w:val="28"/>
      </w:rPr>
    </w:pPr>
  </w:p>
  <w:p w14:paraId="292BA2A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BBF5F">
    <w:pPr>
      <w:pStyle w:val="4"/>
      <w:framePr w:wrap="around" w:vAnchor="text" w:hAnchor="margin" w:xAlign="outside" w:y="1"/>
      <w:rPr>
        <w:rStyle w:val="9"/>
      </w:rPr>
    </w:pPr>
    <w:r>
      <w:fldChar w:fldCharType="begin"/>
    </w:r>
    <w:r>
      <w:rPr>
        <w:rStyle w:val="9"/>
      </w:rPr>
      <w:instrText xml:space="preserve">PAGE  </w:instrText>
    </w:r>
    <w:r>
      <w:fldChar w:fldCharType="end"/>
    </w:r>
  </w:p>
  <w:p w14:paraId="2AD086A2">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attachedTemplate r:id="rId1"/>
  <w:documentProtection w:enforcement="0"/>
  <w:defaultTabStop w:val="420"/>
  <w:drawingGridHorizontalSpacing w:val="158"/>
  <w:drawingGridVerticalSpacing w:val="61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81C"/>
    <w:rsid w:val="00001C85"/>
    <w:rsid w:val="00015EDE"/>
    <w:rsid w:val="00047670"/>
    <w:rsid w:val="00047F69"/>
    <w:rsid w:val="00082A5C"/>
    <w:rsid w:val="000832FD"/>
    <w:rsid w:val="000852F9"/>
    <w:rsid w:val="00090CE7"/>
    <w:rsid w:val="00097289"/>
    <w:rsid w:val="000B070F"/>
    <w:rsid w:val="000B4C18"/>
    <w:rsid w:val="000C301C"/>
    <w:rsid w:val="000C3889"/>
    <w:rsid w:val="000C3CB8"/>
    <w:rsid w:val="000D56D5"/>
    <w:rsid w:val="000D6A43"/>
    <w:rsid w:val="00104C9C"/>
    <w:rsid w:val="00115337"/>
    <w:rsid w:val="0012593F"/>
    <w:rsid w:val="00145974"/>
    <w:rsid w:val="00151CBA"/>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71C08"/>
    <w:rsid w:val="00272176"/>
    <w:rsid w:val="0028081C"/>
    <w:rsid w:val="00283EC7"/>
    <w:rsid w:val="002840F5"/>
    <w:rsid w:val="00290A95"/>
    <w:rsid w:val="002915FD"/>
    <w:rsid w:val="002A78A2"/>
    <w:rsid w:val="002B3756"/>
    <w:rsid w:val="002C0C0E"/>
    <w:rsid w:val="002C13BB"/>
    <w:rsid w:val="002D01F1"/>
    <w:rsid w:val="002D6E72"/>
    <w:rsid w:val="002F222A"/>
    <w:rsid w:val="003016C4"/>
    <w:rsid w:val="00323D70"/>
    <w:rsid w:val="003275AA"/>
    <w:rsid w:val="00334F3A"/>
    <w:rsid w:val="00347973"/>
    <w:rsid w:val="003551D8"/>
    <w:rsid w:val="003804CF"/>
    <w:rsid w:val="00396136"/>
    <w:rsid w:val="003D6927"/>
    <w:rsid w:val="003E6957"/>
    <w:rsid w:val="003F1D2D"/>
    <w:rsid w:val="0042675C"/>
    <w:rsid w:val="004366AD"/>
    <w:rsid w:val="00436E68"/>
    <w:rsid w:val="004422C8"/>
    <w:rsid w:val="00464587"/>
    <w:rsid w:val="00466E9D"/>
    <w:rsid w:val="0047490D"/>
    <w:rsid w:val="0048602A"/>
    <w:rsid w:val="004A38CF"/>
    <w:rsid w:val="004A62BA"/>
    <w:rsid w:val="004C5EFD"/>
    <w:rsid w:val="004D0859"/>
    <w:rsid w:val="004D586D"/>
    <w:rsid w:val="004E13C9"/>
    <w:rsid w:val="004E567A"/>
    <w:rsid w:val="00511456"/>
    <w:rsid w:val="00521A96"/>
    <w:rsid w:val="00527C59"/>
    <w:rsid w:val="0053095F"/>
    <w:rsid w:val="0053590B"/>
    <w:rsid w:val="00564EB8"/>
    <w:rsid w:val="0059052A"/>
    <w:rsid w:val="005A149B"/>
    <w:rsid w:val="005B12AD"/>
    <w:rsid w:val="005B6D04"/>
    <w:rsid w:val="005C24D6"/>
    <w:rsid w:val="005C69AB"/>
    <w:rsid w:val="005D060E"/>
    <w:rsid w:val="005E3B4A"/>
    <w:rsid w:val="005F76D5"/>
    <w:rsid w:val="0062245C"/>
    <w:rsid w:val="00640DE7"/>
    <w:rsid w:val="00641192"/>
    <w:rsid w:val="006576FA"/>
    <w:rsid w:val="00675205"/>
    <w:rsid w:val="00677228"/>
    <w:rsid w:val="00693BD5"/>
    <w:rsid w:val="006A28F5"/>
    <w:rsid w:val="006A6965"/>
    <w:rsid w:val="006B2BAD"/>
    <w:rsid w:val="006D0170"/>
    <w:rsid w:val="006D7C57"/>
    <w:rsid w:val="006E5889"/>
    <w:rsid w:val="006F15BA"/>
    <w:rsid w:val="006F29B5"/>
    <w:rsid w:val="00707832"/>
    <w:rsid w:val="007158E4"/>
    <w:rsid w:val="00716C4E"/>
    <w:rsid w:val="00730C65"/>
    <w:rsid w:val="007443DC"/>
    <w:rsid w:val="00750DBF"/>
    <w:rsid w:val="00753DD4"/>
    <w:rsid w:val="00753DDF"/>
    <w:rsid w:val="00765E1C"/>
    <w:rsid w:val="007847A3"/>
    <w:rsid w:val="00790E97"/>
    <w:rsid w:val="007B29D0"/>
    <w:rsid w:val="007B438D"/>
    <w:rsid w:val="007B5088"/>
    <w:rsid w:val="007C5CB3"/>
    <w:rsid w:val="00802F15"/>
    <w:rsid w:val="008170AC"/>
    <w:rsid w:val="008372CA"/>
    <w:rsid w:val="00842FEA"/>
    <w:rsid w:val="0086236D"/>
    <w:rsid w:val="00884916"/>
    <w:rsid w:val="008865F4"/>
    <w:rsid w:val="0089687C"/>
    <w:rsid w:val="008B3E8D"/>
    <w:rsid w:val="008C31B7"/>
    <w:rsid w:val="008D6E09"/>
    <w:rsid w:val="008D701C"/>
    <w:rsid w:val="008E07FB"/>
    <w:rsid w:val="008F3EEB"/>
    <w:rsid w:val="008F580D"/>
    <w:rsid w:val="00902B79"/>
    <w:rsid w:val="00902C55"/>
    <w:rsid w:val="00926C10"/>
    <w:rsid w:val="00932FC7"/>
    <w:rsid w:val="0093611D"/>
    <w:rsid w:val="009473C5"/>
    <w:rsid w:val="00950FC2"/>
    <w:rsid w:val="009544A8"/>
    <w:rsid w:val="0096566C"/>
    <w:rsid w:val="00972A29"/>
    <w:rsid w:val="00974E8C"/>
    <w:rsid w:val="009A3DB2"/>
    <w:rsid w:val="009C5976"/>
    <w:rsid w:val="009C5EB5"/>
    <w:rsid w:val="009C790D"/>
    <w:rsid w:val="009D272F"/>
    <w:rsid w:val="009D34AC"/>
    <w:rsid w:val="009E0D72"/>
    <w:rsid w:val="009E1AD4"/>
    <w:rsid w:val="009E5416"/>
    <w:rsid w:val="00A36142"/>
    <w:rsid w:val="00A40AFA"/>
    <w:rsid w:val="00A56A9B"/>
    <w:rsid w:val="00A9748E"/>
    <w:rsid w:val="00AC047D"/>
    <w:rsid w:val="00AC648A"/>
    <w:rsid w:val="00AC7BAA"/>
    <w:rsid w:val="00AD33EF"/>
    <w:rsid w:val="00AE0762"/>
    <w:rsid w:val="00AE5E03"/>
    <w:rsid w:val="00AF7F2C"/>
    <w:rsid w:val="00B10676"/>
    <w:rsid w:val="00B15884"/>
    <w:rsid w:val="00B30042"/>
    <w:rsid w:val="00B31FB2"/>
    <w:rsid w:val="00B42B25"/>
    <w:rsid w:val="00B45736"/>
    <w:rsid w:val="00B5742B"/>
    <w:rsid w:val="00B71F4F"/>
    <w:rsid w:val="00B805AF"/>
    <w:rsid w:val="00B837BD"/>
    <w:rsid w:val="00B90EAA"/>
    <w:rsid w:val="00B95160"/>
    <w:rsid w:val="00B95EC7"/>
    <w:rsid w:val="00BB16F4"/>
    <w:rsid w:val="00BB1C8A"/>
    <w:rsid w:val="00BB73EF"/>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74EA0"/>
    <w:rsid w:val="00C76BD4"/>
    <w:rsid w:val="00C850D2"/>
    <w:rsid w:val="00C8740F"/>
    <w:rsid w:val="00CC70BC"/>
    <w:rsid w:val="00CD225F"/>
    <w:rsid w:val="00CF1B16"/>
    <w:rsid w:val="00D01DA0"/>
    <w:rsid w:val="00D02618"/>
    <w:rsid w:val="00D0455B"/>
    <w:rsid w:val="00D051BE"/>
    <w:rsid w:val="00D205FC"/>
    <w:rsid w:val="00D37BB0"/>
    <w:rsid w:val="00D55BFA"/>
    <w:rsid w:val="00D6485C"/>
    <w:rsid w:val="00D70C73"/>
    <w:rsid w:val="00D74A06"/>
    <w:rsid w:val="00D76AC3"/>
    <w:rsid w:val="00D87223"/>
    <w:rsid w:val="00DB438D"/>
    <w:rsid w:val="00DD3F0C"/>
    <w:rsid w:val="00DE30EF"/>
    <w:rsid w:val="00DF26FF"/>
    <w:rsid w:val="00DF376C"/>
    <w:rsid w:val="00DF7771"/>
    <w:rsid w:val="00E23AD5"/>
    <w:rsid w:val="00E44B98"/>
    <w:rsid w:val="00E52C18"/>
    <w:rsid w:val="00E61A5F"/>
    <w:rsid w:val="00E9508B"/>
    <w:rsid w:val="00E95F22"/>
    <w:rsid w:val="00EB0FC1"/>
    <w:rsid w:val="00ED426B"/>
    <w:rsid w:val="00ED656B"/>
    <w:rsid w:val="00EE0C36"/>
    <w:rsid w:val="00EE295C"/>
    <w:rsid w:val="00EE5C65"/>
    <w:rsid w:val="00EE5F9D"/>
    <w:rsid w:val="00F02188"/>
    <w:rsid w:val="00F05A97"/>
    <w:rsid w:val="00F1261C"/>
    <w:rsid w:val="00F27B34"/>
    <w:rsid w:val="00F8191D"/>
    <w:rsid w:val="00FB1867"/>
    <w:rsid w:val="00FB5B94"/>
    <w:rsid w:val="00FC2FF1"/>
    <w:rsid w:val="00FD7864"/>
    <w:rsid w:val="00FF05C9"/>
    <w:rsid w:val="00FF121F"/>
    <w:rsid w:val="091C01AA"/>
    <w:rsid w:val="0F856B18"/>
    <w:rsid w:val="13C0560B"/>
    <w:rsid w:val="149B08DC"/>
    <w:rsid w:val="27AE5E26"/>
    <w:rsid w:val="28EC3E41"/>
    <w:rsid w:val="378C2F81"/>
    <w:rsid w:val="38EC44D2"/>
    <w:rsid w:val="3B72794D"/>
    <w:rsid w:val="4DD34A41"/>
    <w:rsid w:val="54BC7595"/>
    <w:rsid w:val="6176180D"/>
    <w:rsid w:val="667E2026"/>
    <w:rsid w:val="6AFE4741"/>
    <w:rsid w:val="6E357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style>
  <w:style w:type="paragraph" w:styleId="3">
    <w:name w:val="Balloon Text"/>
    <w:basedOn w:val="1"/>
    <w:link w:val="13"/>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nhideWhenUsed/>
    <w:qFormat/>
    <w:uiPriority w:val="99"/>
    <w:rPr>
      <w:b/>
      <w:bCs/>
    </w:rPr>
  </w:style>
  <w:style w:type="character" w:styleId="9">
    <w:name w:val="page number"/>
    <w:basedOn w:val="8"/>
    <w:qFormat/>
    <w:uiPriority w:val="0"/>
  </w:style>
  <w:style w:type="character" w:styleId="10">
    <w:name w:val="annotation reference"/>
    <w:unhideWhenUsed/>
    <w:qFormat/>
    <w:uiPriority w:val="99"/>
    <w:rPr>
      <w:sz w:val="21"/>
      <w:szCs w:val="21"/>
    </w:rPr>
  </w:style>
  <w:style w:type="character" w:customStyle="1" w:styleId="11">
    <w:name w:val="页脚 Char"/>
    <w:link w:val="4"/>
    <w:qFormat/>
    <w:uiPriority w:val="99"/>
    <w:rPr>
      <w:kern w:val="2"/>
      <w:sz w:val="18"/>
      <w:szCs w:val="18"/>
    </w:rPr>
  </w:style>
  <w:style w:type="character" w:customStyle="1" w:styleId="12">
    <w:name w:val="页眉 Char"/>
    <w:link w:val="5"/>
    <w:semiHidden/>
    <w:qFormat/>
    <w:uiPriority w:val="99"/>
    <w:rPr>
      <w:kern w:val="2"/>
      <w:sz w:val="18"/>
      <w:szCs w:val="18"/>
    </w:rPr>
  </w:style>
  <w:style w:type="character" w:customStyle="1" w:styleId="13">
    <w:name w:val="批注框文本 Char"/>
    <w:link w:val="3"/>
    <w:semiHidden/>
    <w:qFormat/>
    <w:uiPriority w:val="99"/>
    <w:rPr>
      <w:kern w:val="2"/>
      <w:sz w:val="18"/>
      <w:szCs w:val="18"/>
    </w:rPr>
  </w:style>
  <w:style w:type="character" w:customStyle="1" w:styleId="14">
    <w:name w:val="批注主题 Char"/>
    <w:link w:val="6"/>
    <w:semiHidden/>
    <w:qFormat/>
    <w:uiPriority w:val="99"/>
    <w:rPr>
      <w:b/>
      <w:bCs/>
      <w:kern w:val="2"/>
      <w:sz w:val="21"/>
      <w:szCs w:val="22"/>
    </w:rPr>
  </w:style>
  <w:style w:type="character" w:customStyle="1" w:styleId="15">
    <w:name w:val="批注文字 Char"/>
    <w:link w:val="2"/>
    <w:semiHidden/>
    <w:qFormat/>
    <w:uiPriority w:val="99"/>
    <w:rPr>
      <w:kern w:val="2"/>
      <w:sz w:val="21"/>
      <w:szCs w:val="22"/>
    </w:rPr>
  </w:style>
  <w:style w:type="paragraph" w:customStyle="1" w:styleId="16">
    <w:name w:val="Char1"/>
    <w:basedOn w:val="1"/>
    <w:qFormat/>
    <w:uiPriority w:val="0"/>
    <w:pPr>
      <w:tabs>
        <w:tab w:val="left" w:pos="840"/>
      </w:tabs>
      <w:ind w:left="840" w:hanging="420"/>
    </w:pPr>
    <w:rPr>
      <w:sz w:val="24"/>
      <w:szCs w:val="24"/>
    </w:rPr>
  </w:style>
  <w:style w:type="paragraph" w:customStyle="1" w:styleId="17">
    <w:name w:val="Revision"/>
    <w:semiHidden/>
    <w:qFormat/>
    <w:uiPriority w:val="99"/>
    <w:rPr>
      <w:rFonts w:ascii="Times New Roman" w:hAnsi="Times New Roman"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yu\2021&#24180;&#23457;&#25209;&#31185;&#24037;&#20316;1\&#29615;&#35780;&#25209;&#22797;&#27169;&#26495;\&#12304;&#29615;&#35780;&#25209;&#22797;&#27169;&#26495;&#12305;&#29615;&#35780;&#25253;&#21578;&#34920;&#65288;2022&#24180;1&#26376;&#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EA9E0-8664-4659-84DA-5059E74302A2}">
  <ds:schemaRefs/>
</ds:datastoreItem>
</file>

<file path=docProps/app.xml><?xml version="1.0" encoding="utf-8"?>
<Properties xmlns="http://schemas.openxmlformats.org/officeDocument/2006/extended-properties" xmlns:vt="http://schemas.openxmlformats.org/officeDocument/2006/docPropsVTypes">
  <Template>【环评批复模板】环评报告表（2022年1月版）.dot</Template>
  <Pages>4</Pages>
  <Words>1860</Words>
  <Characters>1994</Characters>
  <Lines>14</Lines>
  <Paragraphs>4</Paragraphs>
  <TotalTime>2</TotalTime>
  <ScaleCrop>false</ScaleCrop>
  <LinksUpToDate>false</LinksUpToDate>
  <CharactersWithSpaces>2053</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2022-01-04T11:34:00Z</dcterms:created>
  <dc:creator>Administrator</dc:creator>
  <cp:lastModifiedBy>1</cp:lastModifiedBy>
  <cp:lastPrinted>2025-07-01T02:32:07Z</cp:lastPrinted>
  <dcterms:modified xsi:type="dcterms:W3CDTF">2025-07-01T03:37:38Z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F8335CEA5AB0480C81FCF2BC6BF49B6E_13</vt:lpwstr>
  </property>
</Properties>
</file>