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bookmarkStart w:id="0" w:name="_GoBack"/>
      <w:bookmarkEnd w:id="0"/>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83</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146B2965">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w w:val="95"/>
          <w:sz w:val="44"/>
          <w:szCs w:val="44"/>
          <w:lang w:eastAsia="zh-CN"/>
        </w:rPr>
      </w:pPr>
      <w:r>
        <w:rPr>
          <w:rFonts w:hint="eastAsia" w:ascii="方正小标宋简体" w:eastAsia="方正小标宋简体"/>
          <w:color w:val="auto"/>
          <w:w w:val="95"/>
          <w:sz w:val="44"/>
          <w:szCs w:val="44"/>
        </w:rPr>
        <w:t>广州市生态环境局关于</w:t>
      </w:r>
      <w:r>
        <w:rPr>
          <w:rFonts w:hint="eastAsia" w:ascii="方正小标宋简体" w:eastAsia="方正小标宋简体"/>
          <w:color w:val="auto"/>
          <w:w w:val="95"/>
          <w:sz w:val="44"/>
          <w:szCs w:val="44"/>
          <w:lang w:eastAsia="zh-CN"/>
        </w:rPr>
        <w:t>广东天沅智能制造科技</w:t>
      </w:r>
    </w:p>
    <w:p w14:paraId="4DDBCB60">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w w:val="95"/>
          <w:sz w:val="44"/>
          <w:szCs w:val="44"/>
          <w:lang w:eastAsia="zh-CN"/>
        </w:rPr>
        <w:t>有限公司总部厂房建设项目</w:t>
      </w:r>
      <w:r>
        <w:rPr>
          <w:rFonts w:hint="eastAsia" w:ascii="方正小标宋简体" w:eastAsia="方正小标宋简体"/>
          <w:color w:val="auto"/>
          <w:sz w:val="44"/>
          <w:szCs w:val="44"/>
        </w:rPr>
        <w:t>环境影响</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广东天沅智能制造科技有限公司（914401135659529140）：</w:t>
      </w:r>
    </w:p>
    <w:p w14:paraId="06F9824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你单位报送的《</w:t>
      </w:r>
      <w:r>
        <w:rPr>
          <w:rFonts w:hint="eastAsia" w:ascii="仿宋_GB2312" w:eastAsia="仿宋_GB2312"/>
          <w:color w:val="000000" w:themeColor="text1"/>
          <w:sz w:val="32"/>
          <w:szCs w:val="32"/>
          <w:lang w:eastAsia="zh-CN"/>
          <w14:textFill>
            <w14:solidFill>
              <w14:schemeClr w14:val="tx1"/>
            </w14:solidFill>
          </w14:textFill>
        </w:rPr>
        <w:t>广东天沅智能制造科技有限公司总部厂房建设项目</w:t>
      </w:r>
      <w:r>
        <w:rPr>
          <w:rFonts w:hint="eastAsia" w:ascii="仿宋_GB2312" w:eastAsia="仿宋_GB2312"/>
          <w:color w:val="000000" w:themeColor="text1"/>
          <w:sz w:val="32"/>
          <w:szCs w:val="32"/>
          <w14:textFill>
            <w14:solidFill>
              <w14:schemeClr w14:val="tx1"/>
            </w14:solidFill>
          </w14:textFill>
        </w:rPr>
        <w:t>环境影响报告表》（以下简称《报告表》）及附送资料收悉。经研究，现批复如下：</w:t>
      </w:r>
    </w:p>
    <w:p w14:paraId="6234E811">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广东天沅智能制造科技有限公司总部厂房建设项目</w:t>
      </w:r>
      <w:r>
        <w:rPr>
          <w:rFonts w:hint="eastAsia" w:ascii="仿宋_GB2312" w:eastAsia="仿宋_GB2312"/>
          <w:color w:val="000000" w:themeColor="text1"/>
          <w:sz w:val="32"/>
          <w:szCs w:val="32"/>
          <w14:textFill>
            <w14:solidFill>
              <w14:schemeClr w14:val="tx1"/>
            </w14:solidFill>
          </w14:textFill>
        </w:rPr>
        <w:t>（以下简称“该项目”）位于广州市番禺区石碁镇前锋南路西侧23-05地块，申报内容为</w:t>
      </w:r>
      <w:r>
        <w:rPr>
          <w:rFonts w:hint="eastAsia" w:ascii="仿宋_GB2312" w:eastAsia="仿宋_GB2312"/>
          <w:color w:val="000000" w:themeColor="text1"/>
          <w:sz w:val="32"/>
          <w:szCs w:val="32"/>
          <w:lang w:val="en-US" w:eastAsia="zh-CN"/>
          <w14:textFill>
            <w14:solidFill>
              <w14:schemeClr w14:val="tx1"/>
            </w14:solidFill>
          </w14:textFill>
        </w:rPr>
        <w:t>从事金属模具、塑料制品和硅胶制品的生产，年产金属模具600套、塑胶制品1500万件、硅胶制品900万件</w:t>
      </w:r>
      <w:r>
        <w:rPr>
          <w:rFonts w:hint="eastAsia" w:ascii="仿宋_GB2312" w:eastAsia="仿宋_GB2312"/>
          <w:color w:val="000000" w:themeColor="text1"/>
          <w:sz w:val="32"/>
          <w:szCs w:val="32"/>
          <w14:textFill>
            <w14:solidFill>
              <w14:schemeClr w14:val="tx1"/>
            </w14:solidFill>
          </w14:textFill>
        </w:rPr>
        <w:t>。该项目占地面积</w:t>
      </w:r>
      <w:r>
        <w:rPr>
          <w:rFonts w:hint="eastAsia" w:ascii="仿宋_GB2312" w:eastAsia="仿宋_GB2312"/>
          <w:color w:val="000000" w:themeColor="text1"/>
          <w:sz w:val="32"/>
          <w:szCs w:val="32"/>
          <w:lang w:val="en-US" w:eastAsia="zh-CN"/>
          <w14:textFill>
            <w14:solidFill>
              <w14:schemeClr w14:val="tx1"/>
            </w14:solidFill>
          </w14:textFill>
        </w:rPr>
        <w:t>8976.13平方米，建筑面积21876.54平方米</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主要建筑物为一栋5层厂房</w:t>
      </w:r>
      <w:r>
        <w:rPr>
          <w:rFonts w:hint="eastAsia" w:ascii="仿宋_GB2312" w:eastAsia="仿宋_GB2312"/>
          <w:color w:val="000000" w:themeColor="text1"/>
          <w:sz w:val="32"/>
          <w:szCs w:val="32"/>
          <w14:textFill>
            <w14:solidFill>
              <w14:schemeClr w14:val="tx1"/>
            </w14:solidFill>
          </w14:textFill>
        </w:rPr>
        <w:t>；主要设备有</w:t>
      </w:r>
      <w:r>
        <w:rPr>
          <w:rFonts w:hint="eastAsia" w:ascii="仿宋_GB2312" w:eastAsia="仿宋_GB2312"/>
          <w:color w:val="000000" w:themeColor="text1"/>
          <w:sz w:val="32"/>
          <w:szCs w:val="32"/>
          <w:lang w:val="en-US" w:eastAsia="zh-CN"/>
          <w14:textFill>
            <w14:solidFill>
              <w14:schemeClr w14:val="tx1"/>
            </w14:solidFill>
          </w14:textFill>
        </w:rPr>
        <w:t>注塑机110台（含10台试模机）、硅胶机74台（含10台试模机）、吹瓶机5台、烤炉5台、烤箱5台、碎料机30台、烘料机30台、丝印机2台、</w:t>
      </w:r>
      <w:r>
        <w:rPr>
          <w:rFonts w:hint="eastAsia" w:ascii="仿宋_GB2312" w:eastAsia="仿宋_GB2312"/>
          <w:color w:val="000000" w:themeColor="text1"/>
          <w:sz w:val="32"/>
          <w:szCs w:val="32"/>
          <w14:textFill>
            <w14:solidFill>
              <w14:schemeClr w14:val="tx1"/>
            </w14:solidFill>
          </w14:textFill>
        </w:rPr>
        <w:t>空压机</w:t>
      </w:r>
      <w:r>
        <w:rPr>
          <w:rFonts w:hint="eastAsia" w:ascii="仿宋_GB2312" w:eastAsia="仿宋_GB2312"/>
          <w:color w:val="000000" w:themeColor="text1"/>
          <w:sz w:val="32"/>
          <w:szCs w:val="32"/>
          <w:lang w:val="en-US" w:eastAsia="zh-CN"/>
          <w14:textFill>
            <w14:solidFill>
              <w14:schemeClr w14:val="tx1"/>
            </w14:solidFill>
          </w14:textFill>
        </w:rPr>
        <w:t>5台、</w:t>
      </w:r>
      <w:r>
        <w:rPr>
          <w:rFonts w:hint="eastAsia" w:ascii="仿宋_GB2312" w:eastAsia="仿宋_GB2312"/>
          <w:color w:val="000000" w:themeColor="text1"/>
          <w:sz w:val="32"/>
          <w:szCs w:val="32"/>
          <w14:textFill>
            <w14:solidFill>
              <w14:schemeClr w14:val="tx1"/>
            </w14:solidFill>
          </w14:textFill>
        </w:rPr>
        <w:t>冷却塔</w:t>
      </w:r>
      <w:r>
        <w:rPr>
          <w:rFonts w:hint="eastAsia" w:ascii="仿宋_GB2312" w:eastAsia="仿宋_GB2312"/>
          <w:color w:val="000000" w:themeColor="text1"/>
          <w:sz w:val="32"/>
          <w:szCs w:val="32"/>
          <w:lang w:val="en-US" w:eastAsia="zh-CN"/>
          <w14:textFill>
            <w14:solidFill>
              <w14:schemeClr w14:val="tx1"/>
            </w14:solidFill>
          </w14:textFill>
        </w:rPr>
        <w:t>3台、模具检验及机加工设备一批等</w:t>
      </w:r>
      <w:r>
        <w:rPr>
          <w:rFonts w:hint="eastAsia" w:ascii="仿宋_GB2312" w:eastAsia="仿宋_GB2312"/>
          <w:color w:val="000000" w:themeColor="text1"/>
          <w:sz w:val="32"/>
          <w:szCs w:val="32"/>
          <w14:textFill>
            <w14:solidFill>
              <w14:schemeClr w14:val="tx1"/>
            </w14:solidFill>
          </w14:textFill>
        </w:rPr>
        <w:t>；员工</w:t>
      </w:r>
      <w:r>
        <w:rPr>
          <w:rFonts w:hint="eastAsia" w:ascii="仿宋_GB2312" w:eastAsia="仿宋_GB2312"/>
          <w:color w:val="000000" w:themeColor="text1"/>
          <w:sz w:val="32"/>
          <w:szCs w:val="32"/>
          <w:lang w:val="en-US" w:eastAsia="zh-CN"/>
          <w14:textFill>
            <w14:solidFill>
              <w14:schemeClr w14:val="tx1"/>
            </w14:solidFill>
          </w14:textFill>
        </w:rPr>
        <w:t>200</w:t>
      </w:r>
      <w:r>
        <w:rPr>
          <w:rFonts w:hint="eastAsia" w:ascii="仿宋_GB2312" w:eastAsia="仿宋_GB2312"/>
          <w:color w:val="000000" w:themeColor="text1"/>
          <w:sz w:val="32"/>
          <w:szCs w:val="32"/>
          <w14:textFill>
            <w14:solidFill>
              <w14:schemeClr w14:val="tx1"/>
            </w14:solidFill>
          </w14:textFill>
        </w:rPr>
        <w:t>名，内部不安排食宿。</w:t>
      </w:r>
      <w:r>
        <w:rPr>
          <w:rFonts w:hint="eastAsia" w:ascii="仿宋_GB2312" w:eastAsia="仿宋_GB2312"/>
          <w:color w:val="000000" w:themeColor="text1"/>
          <w:sz w:val="32"/>
          <w:szCs w:val="32"/>
          <w:lang w:val="en-US" w:eastAsia="zh-CN"/>
          <w14:textFill>
            <w14:solidFill>
              <w14:schemeClr w14:val="tx1"/>
            </w14:solidFill>
          </w14:textFill>
        </w:rPr>
        <w:t>该项目注塑、注胶、吹瓶工艺仅使用PP、PPSU、PC、尼龙、</w:t>
      </w:r>
      <w:r>
        <w:rPr>
          <w:rFonts w:hint="eastAsia" w:ascii="仿宋_GB2312" w:eastAsia="仿宋_GB2312"/>
          <w:color w:val="000000" w:themeColor="text1"/>
          <w:sz w:val="32"/>
          <w:szCs w:val="32"/>
          <w14:textFill>
            <w14:solidFill>
              <w14:schemeClr w14:val="tx1"/>
            </w14:solidFill>
          </w14:textFill>
        </w:rPr>
        <w:t>液</w:t>
      </w:r>
      <w:r>
        <w:rPr>
          <w:rFonts w:hint="eastAsia" w:ascii="仿宋_GB2312" w:eastAsia="仿宋_GB2312"/>
          <w:color w:val="000000" w:themeColor="text1"/>
          <w:sz w:val="32"/>
          <w:szCs w:val="32"/>
          <w:lang w:val="en-US" w:eastAsia="zh-CN"/>
          <w14:textFill>
            <w14:solidFill>
              <w14:schemeClr w14:val="tx1"/>
            </w14:solidFill>
          </w14:textFill>
        </w:rPr>
        <w:t>态</w:t>
      </w:r>
      <w:r>
        <w:rPr>
          <w:rFonts w:hint="eastAsia" w:ascii="仿宋_GB2312" w:eastAsia="仿宋_GB2312"/>
          <w:color w:val="000000" w:themeColor="text1"/>
          <w:sz w:val="32"/>
          <w:szCs w:val="32"/>
          <w14:textFill>
            <w14:solidFill>
              <w14:schemeClr w14:val="tx1"/>
            </w14:solidFill>
          </w14:textFill>
        </w:rPr>
        <w:t>硅胶</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不使用再生塑料、再生</w:t>
      </w:r>
      <w:r>
        <w:rPr>
          <w:rFonts w:hint="eastAsia" w:ascii="仿宋_GB2312" w:eastAsia="仿宋_GB2312"/>
          <w:color w:val="000000" w:themeColor="text1"/>
          <w:sz w:val="32"/>
          <w:szCs w:val="32"/>
          <w14:textFill>
            <w14:solidFill>
              <w14:schemeClr w14:val="tx1"/>
            </w14:solidFill>
          </w14:textFill>
        </w:rPr>
        <w:t>硅胶</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page">
                  <wp:posOffset>681990</wp:posOffset>
                </wp:positionH>
                <wp:positionV relativeFrom="page">
                  <wp:posOffset>9904095</wp:posOffset>
                </wp:positionV>
                <wp:extent cx="6120130" cy="6350"/>
                <wp:effectExtent l="0" t="28575" r="6350" b="41275"/>
                <wp:wrapNone/>
                <wp:docPr id="2" name="直接连接符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20130" cy="635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3.7pt;margin-top:779.85pt;height:0.5pt;width:481.9pt;mso-position-horizontal-relative:page;mso-position-vertical-relative:page;z-index:251659264;mso-width-relative:page;mso-height-relative:page;" filled="f" stroked="t" coordsize="21600,21600" o:gfxdata="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7RLsTaAAAADgEAAA8A&#10;AAAAAAAAAQAgAAAAIgAAAGRycy9kb3ducmV2LnhtbFBLAQIUABQAAAAIAIdO4kCv+A8jFQIAAB0E&#10;AAAOAAAAAAAAAAEAIAAAACkBAABkcnMvZTJvRG9jLnhtbFBLBQYAAAAABgAGAFkBAACwBQAAAAA=&#10;">
                <v:fill on="f" focussize="0,0"/>
                <v:stroke weight="4.5pt" color="#FF0000" linestyle="thinThick" joinstyle="round"/>
                <v:imagedata o:title=""/>
                <o:lock v:ext="edit" aspectratio="t"/>
                <w10:anchorlock/>
              </v:line>
            </w:pict>
          </mc:Fallback>
        </mc:AlternateContent>
      </w:r>
    </w:p>
    <w:p w14:paraId="0B64A3C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FF"/>
          <w:sz w:val="32"/>
          <w:szCs w:val="32"/>
        </w:rPr>
      </w:pPr>
      <w:r>
        <w:rPr>
          <w:rFonts w:hint="eastAsia" w:ascii="仿宋_GB2312" w:eastAsia="仿宋_GB2312"/>
          <w:color w:val="000000" w:themeColor="text1"/>
          <w:sz w:val="32"/>
          <w:szCs w:val="32"/>
          <w14:textFill>
            <w14:solidFill>
              <w14:schemeClr w14:val="tx1"/>
            </w14:solidFill>
          </w14:textFill>
        </w:rPr>
        <w:t>按照《报告表》的评价结论，在落实各项环境保护措施后，该项目产生的污染物及不良环境影响能够得到有效控制，从环境保护角度，在</w:t>
      </w:r>
      <w:r>
        <w:rPr>
          <w:rFonts w:hint="eastAsia" w:ascii="仿宋_GB2312" w:eastAsia="仿宋_GB2312"/>
          <w:color w:val="000000" w:themeColor="text1"/>
          <w:sz w:val="32"/>
          <w:szCs w:val="32"/>
          <w:lang w:val="en-US" w:eastAsia="zh-CN"/>
          <w14:textFill>
            <w14:solidFill>
              <w14:schemeClr w14:val="tx1"/>
            </w14:solidFill>
          </w14:textFill>
        </w:rPr>
        <w:t>拟选</w:t>
      </w:r>
      <w:r>
        <w:rPr>
          <w:rFonts w:hint="eastAsia" w:ascii="仿宋_GB2312" w:eastAsia="仿宋_GB2312"/>
          <w:color w:val="000000" w:themeColor="text1"/>
          <w:sz w:val="32"/>
          <w:szCs w:val="32"/>
          <w14:textFill>
            <w14:solidFill>
              <w14:schemeClr w14:val="tx1"/>
            </w14:solidFill>
          </w14:textFill>
        </w:rPr>
        <w:t>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水污染物</w:t>
      </w:r>
      <w:r>
        <w:rPr>
          <w:rFonts w:hint="eastAsia" w:ascii="仿宋_GB2312" w:eastAsia="仿宋_GB2312"/>
          <w:color w:val="000000" w:themeColor="text1"/>
          <w:sz w:val="32"/>
          <w:szCs w:val="32"/>
          <w14:textFill>
            <w14:solidFill>
              <w14:schemeClr w14:val="tx1"/>
            </w14:solidFill>
          </w14:textFill>
        </w:rPr>
        <w:t>排放执行广东省《水污染物排放限值》（DB44/26-2001）第二时段三级标准。生活污水排放量不超过</w:t>
      </w:r>
      <w:r>
        <w:rPr>
          <w:rFonts w:hint="eastAsia" w:ascii="仿宋_GB2312" w:eastAsia="仿宋_GB2312"/>
          <w:color w:val="000000" w:themeColor="text1"/>
          <w:sz w:val="32"/>
          <w:szCs w:val="32"/>
          <w:lang w:val="en-US" w:eastAsia="zh-CN"/>
          <w14:textFill>
            <w14:solidFill>
              <w14:schemeClr w14:val="tx1"/>
            </w14:solidFill>
          </w14:textFill>
        </w:rPr>
        <w:t>1600</w:t>
      </w:r>
      <w:r>
        <w:rPr>
          <w:rFonts w:hint="eastAsia" w:ascii="仿宋_GB2312" w:eastAsia="仿宋_GB2312"/>
          <w:color w:val="000000" w:themeColor="text1"/>
          <w:sz w:val="32"/>
          <w:szCs w:val="32"/>
          <w14:textFill>
            <w14:solidFill>
              <w14:schemeClr w14:val="tx1"/>
            </w14:solidFill>
          </w14:textFill>
        </w:rPr>
        <w:t>吨/年；</w:t>
      </w:r>
      <w:r>
        <w:rPr>
          <w:rFonts w:hint="eastAsia" w:ascii="仿宋_GB2312" w:eastAsia="仿宋_GB2312"/>
          <w:color w:val="000000" w:themeColor="text1"/>
          <w:sz w:val="32"/>
          <w:szCs w:val="32"/>
          <w:lang w:val="en-US" w:eastAsia="zh-CN"/>
          <w14:textFill>
            <w14:solidFill>
              <w14:schemeClr w14:val="tx1"/>
            </w14:solidFill>
          </w14:textFill>
        </w:rPr>
        <w:t>冷却</w:t>
      </w:r>
      <w:r>
        <w:rPr>
          <w:rFonts w:hint="eastAsia" w:ascii="仿宋_GB2312" w:eastAsia="仿宋_GB2312"/>
          <w:color w:val="000000" w:themeColor="text1"/>
          <w:sz w:val="32"/>
          <w:szCs w:val="32"/>
          <w14:textFill>
            <w14:solidFill>
              <w14:schemeClr w14:val="tx1"/>
            </w14:solidFill>
          </w14:textFill>
        </w:rPr>
        <w:t>废水排放量不超过</w:t>
      </w:r>
      <w:r>
        <w:rPr>
          <w:rFonts w:hint="eastAsia" w:ascii="仿宋_GB2312" w:eastAsia="仿宋_GB2312"/>
          <w:color w:val="000000" w:themeColor="text1"/>
          <w:sz w:val="32"/>
          <w:szCs w:val="32"/>
          <w:lang w:val="en-US" w:eastAsia="zh-CN"/>
          <w14:textFill>
            <w14:solidFill>
              <w14:schemeClr w14:val="tx1"/>
            </w14:solidFill>
          </w14:textFill>
        </w:rPr>
        <w:t>105</w:t>
      </w:r>
      <w:r>
        <w:rPr>
          <w:rFonts w:hint="eastAsia" w:ascii="仿宋_GB2312" w:eastAsia="仿宋_GB2312"/>
          <w:color w:val="000000" w:themeColor="text1"/>
          <w:sz w:val="32"/>
          <w:szCs w:val="32"/>
          <w14:textFill>
            <w14:solidFill>
              <w14:schemeClr w14:val="tx1"/>
            </w14:solidFill>
          </w14:textFill>
        </w:rPr>
        <w:t>吨/年。</w:t>
      </w:r>
    </w:p>
    <w:p w14:paraId="5C2993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丝印、注塑、吹瓶工序产生的有机废气有组织排放执行广东省《印刷行业挥发性有机化合物排放标准》（DB44/815-2010）</w:t>
      </w:r>
      <w:r>
        <w:rPr>
          <w:rFonts w:hint="eastAsia" w:ascii="仿宋_GB2312" w:eastAsia="仿宋_GB2312"/>
          <w:color w:val="000000" w:themeColor="text1"/>
          <w:sz w:val="32"/>
          <w:szCs w:val="32"/>
          <w:lang w:val="en-US" w:eastAsia="zh-CN"/>
          <w14:textFill>
            <w14:solidFill>
              <w14:schemeClr w14:val="tx1"/>
            </w14:solidFill>
          </w14:textFill>
        </w:rPr>
        <w:t>及《</w:t>
      </w:r>
      <w:r>
        <w:rPr>
          <w:rFonts w:hint="eastAsia" w:ascii="仿宋_GB2312" w:eastAsia="仿宋_GB2312"/>
          <w:color w:val="auto"/>
          <w:sz w:val="32"/>
          <w:szCs w:val="32"/>
          <w:lang w:val="en-US" w:eastAsia="zh-CN"/>
        </w:rPr>
        <w:t>合成树脂工业污染物排放标准》（GB31572-2015）（含2024年修改单）的较严值；</w:t>
      </w:r>
      <w:r>
        <w:rPr>
          <w:rFonts w:hint="eastAsia" w:ascii="仿宋_GB2312" w:eastAsia="仿宋_GB2312"/>
          <w:color w:val="000000" w:themeColor="text1"/>
          <w:sz w:val="32"/>
          <w:szCs w:val="32"/>
          <w:lang w:val="en-US" w:eastAsia="zh-CN"/>
          <w14:textFill>
            <w14:solidFill>
              <w14:schemeClr w14:val="tx1"/>
            </w14:solidFill>
          </w14:textFill>
        </w:rPr>
        <w:t>注胶成型、固化工序产生的有机废气有组织排放执行</w:t>
      </w:r>
      <w:r>
        <w:rPr>
          <w:rFonts w:hint="default" w:ascii="仿宋_GB2312" w:eastAsia="仿宋_GB2312" w:cs="Times New Roman"/>
          <w:color w:val="000000" w:themeColor="text1"/>
          <w:sz w:val="32"/>
          <w:szCs w:val="32"/>
          <w:lang w:val="en-US" w:eastAsia="zh-CN"/>
          <w14:textFill>
            <w14:solidFill>
              <w14:schemeClr w14:val="tx1"/>
            </w14:solidFill>
          </w14:textFill>
        </w:rPr>
        <w:t>《橡胶制品工业污染物排放标准》（GB</w:t>
      </w:r>
      <w:r>
        <w:rPr>
          <w:rFonts w:hint="eastAsia" w:ascii="仿宋_GB2312" w:eastAsia="仿宋_GB2312" w:cs="Times New Roman"/>
          <w:color w:val="000000" w:themeColor="text1"/>
          <w:sz w:val="32"/>
          <w:szCs w:val="32"/>
          <w:lang w:val="en-US" w:eastAsia="zh-CN"/>
          <w14:textFill>
            <w14:solidFill>
              <w14:schemeClr w14:val="tx1"/>
            </w14:solidFill>
          </w14:textFill>
        </w:rPr>
        <w:t xml:space="preserve"> </w:t>
      </w:r>
      <w:r>
        <w:rPr>
          <w:rFonts w:hint="default" w:ascii="仿宋_GB2312" w:eastAsia="仿宋_GB2312" w:cs="Times New Roman"/>
          <w:color w:val="000000" w:themeColor="text1"/>
          <w:sz w:val="32"/>
          <w:szCs w:val="32"/>
          <w:lang w:val="en-US" w:eastAsia="zh-CN"/>
          <w14:textFill>
            <w14:solidFill>
              <w14:schemeClr w14:val="tx1"/>
            </w14:solidFill>
          </w14:textFill>
        </w:rPr>
        <w:t>27632-2011）</w:t>
      </w:r>
      <w:r>
        <w:rPr>
          <w:rFonts w:hint="eastAsia" w:ascii="仿宋_GB2312" w:eastAsia="仿宋_GB2312" w:cs="Times New Roman"/>
          <w:color w:val="000000" w:themeColor="text1"/>
          <w:sz w:val="32"/>
          <w:szCs w:val="32"/>
          <w:lang w:val="en-US" w:eastAsia="zh-CN"/>
          <w14:textFill>
            <w14:solidFill>
              <w14:schemeClr w14:val="tx1"/>
            </w14:solidFill>
          </w14:textFill>
        </w:rPr>
        <w:t>；颗粒物排放执行《合成树脂工业污染物排放标准》（GB31572-2015）（含2024年修改单）表9企业边界大气污染物浓度限值及广东省地方标准《大气污染物排放限值》（DB44/27-2001）第二时段无组织排放监控点浓度限值的较严值；</w:t>
      </w:r>
      <w:r>
        <w:rPr>
          <w:rFonts w:hint="eastAsia" w:ascii="仿宋_GB2312" w:eastAsia="仿宋_GB2312" w:cs="Times New Roman"/>
          <w:color w:val="000000" w:themeColor="text1"/>
          <w:sz w:val="32"/>
          <w:szCs w:val="32"/>
          <w14:textFill>
            <w14:solidFill>
              <w14:schemeClr w14:val="tx1"/>
            </w14:solidFill>
          </w14:textFill>
        </w:rPr>
        <w:t>臭气浓度排放执行《恶臭污染物排放标准》（GB14554-93）表1厂界新扩改建二级标准限值和表2排放标准值；</w:t>
      </w:r>
      <w:r>
        <w:rPr>
          <w:rFonts w:hint="eastAsia" w:ascii="仿宋_GB2312" w:eastAsia="仿宋_GB2312" w:cs="Times New Roman"/>
          <w:color w:val="000000" w:themeColor="text1"/>
          <w:sz w:val="32"/>
          <w:szCs w:val="32"/>
          <w:lang w:val="en-US" w:eastAsia="zh-CN"/>
          <w14:textFill>
            <w14:solidFill>
              <w14:schemeClr w14:val="tx1"/>
            </w14:solidFill>
          </w14:textFill>
        </w:rPr>
        <w:t>厂界</w:t>
      </w:r>
      <w:r>
        <w:rPr>
          <w:rFonts w:hint="eastAsia" w:ascii="仿宋_GB2312" w:eastAsia="仿宋_GB2312" w:cs="Times New Roman"/>
          <w:color w:val="000000" w:themeColor="text1"/>
          <w:sz w:val="32"/>
          <w:szCs w:val="32"/>
          <w14:textFill>
            <w14:solidFill>
              <w14:schemeClr w14:val="tx1"/>
            </w14:solidFill>
          </w14:textFill>
        </w:rPr>
        <w:t>非甲烷总烃执行《合成树脂工业污染物排放标准》（GB31572-2015）（含2024年修改单）表9企业边界大气污染物浓度限值及《橡胶制品工业污染物排放标准》（GB</w:t>
      </w:r>
      <w:r>
        <w:rPr>
          <w:rFonts w:hint="eastAsia" w:ascii="仿宋_GB2312" w:eastAsia="仿宋_GB2312" w:cs="Times New Roman"/>
          <w:color w:val="000000" w:themeColor="text1"/>
          <w:sz w:val="32"/>
          <w:szCs w:val="32"/>
          <w:lang w:val="en-US" w:eastAsia="zh-CN"/>
          <w14:textFill>
            <w14:solidFill>
              <w14:schemeClr w14:val="tx1"/>
            </w14:solidFill>
          </w14:textFill>
        </w:rPr>
        <w:t>2</w:t>
      </w:r>
      <w:r>
        <w:rPr>
          <w:rFonts w:hint="eastAsia" w:ascii="仿宋_GB2312" w:eastAsia="仿宋_GB2312" w:cs="Times New Roman"/>
          <w:color w:val="000000" w:themeColor="text1"/>
          <w:sz w:val="32"/>
          <w:szCs w:val="32"/>
          <w14:textFill>
            <w14:solidFill>
              <w14:schemeClr w14:val="tx1"/>
            </w14:solidFill>
          </w14:textFill>
        </w:rPr>
        <w:t>7632-2011）表6现有和新建企业厂界无组织排放限值</w:t>
      </w:r>
      <w:r>
        <w:rPr>
          <w:rFonts w:hint="eastAsia" w:ascii="仿宋_GB2312" w:eastAsia="仿宋_GB2312" w:cs="Times New Roman"/>
          <w:color w:val="000000" w:themeColor="text1"/>
          <w:sz w:val="32"/>
          <w:szCs w:val="32"/>
          <w:lang w:val="en-US" w:eastAsia="zh-CN"/>
          <w14:textFill>
            <w14:solidFill>
              <w14:schemeClr w14:val="tx1"/>
            </w14:solidFill>
          </w14:textFill>
        </w:rPr>
        <w:t>的</w:t>
      </w:r>
      <w:r>
        <w:rPr>
          <w:rFonts w:hint="eastAsia" w:ascii="仿宋_GB2312" w:eastAsia="仿宋_GB2312" w:cs="Times New Roman"/>
          <w:color w:val="000000" w:themeColor="text1"/>
          <w:sz w:val="32"/>
          <w:szCs w:val="32"/>
          <w14:textFill>
            <w14:solidFill>
              <w14:schemeClr w14:val="tx1"/>
            </w14:solidFill>
          </w14:textFill>
        </w:rPr>
        <w:t>较严值</w:t>
      </w:r>
      <w:r>
        <w:rPr>
          <w:rFonts w:hint="eastAsia" w:ascii="仿宋_GB2312" w:eastAsia="仿宋_GB2312" w:cs="Times New Roman"/>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厂区内非甲烷总烃排放执行广东省《固定污染</w:t>
      </w:r>
      <w:r>
        <w:rPr>
          <w:rFonts w:hint="eastAsia" w:ascii="仿宋_GB2312" w:eastAsia="仿宋_GB2312" w:cs="Times New Roman"/>
          <w:color w:val="000000" w:themeColor="text1"/>
          <w:sz w:val="32"/>
          <w:szCs w:val="32"/>
          <w14:textFill>
            <w14:solidFill>
              <w14:schemeClr w14:val="tx1"/>
            </w14:solidFill>
          </w14:textFill>
        </w:rPr>
        <w:t>源挥发性有机物综合排放标准》（DB44/2367-2022）表3厂区内VOCs无组织排放限值</w:t>
      </w:r>
      <w:r>
        <w:rPr>
          <w:rFonts w:hint="eastAsia" w:ascii="仿宋_GB2312" w:eastAsia="仿宋_GB2312" w:cs="Times New Roman"/>
          <w:color w:val="000000" w:themeColor="text1"/>
          <w:sz w:val="32"/>
          <w:szCs w:val="32"/>
          <w:lang w:eastAsia="zh-CN"/>
          <w14:textFill>
            <w14:solidFill>
              <w14:schemeClr w14:val="tx1"/>
            </w14:solidFill>
          </w14:textFill>
        </w:rPr>
        <w:t>；厂界VOCs执行《印刷行业挥发性有机化合物排放标准》（DB44/815-2010）表3无组织排放监控点浓度限值；备用柴油发电机尾气执行广东省地方标准《大气污染物排放限值》（DB44/27-2001）第二时段二级标准要求。</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挥发性有机物排放量</w:t>
      </w:r>
      <w:r>
        <w:rPr>
          <w:rFonts w:hint="eastAsia" w:ascii="仿宋_GB2312" w:eastAsia="仿宋_GB2312" w:cs="Times New Roman"/>
          <w:color w:val="000000" w:themeColor="text1"/>
          <w:sz w:val="32"/>
          <w:szCs w:val="32"/>
          <w:lang w:val="en-US" w:eastAsia="zh-CN"/>
          <w14:textFill>
            <w14:solidFill>
              <w14:schemeClr w14:val="tx1"/>
            </w14:solidFill>
          </w14:textFill>
        </w:rPr>
        <w:t>不超过</w:t>
      </w:r>
      <w:r>
        <w:rPr>
          <w:rFonts w:hint="eastAsia" w:ascii="仿宋_GB2312" w:eastAsia="仿宋_GB2312" w:cs="Times New Roman"/>
          <w:color w:val="000000" w:themeColor="text1"/>
          <w:sz w:val="32"/>
          <w:szCs w:val="32"/>
          <w14:textFill>
            <w14:solidFill>
              <w14:schemeClr w14:val="tx1"/>
            </w14:solidFill>
          </w14:textFill>
        </w:rPr>
        <w:t>0.</w:t>
      </w:r>
      <w:r>
        <w:rPr>
          <w:rFonts w:hint="eastAsia" w:ascii="仿宋_GB2312" w:eastAsia="仿宋_GB2312" w:cs="Times New Roman"/>
          <w:color w:val="000000" w:themeColor="text1"/>
          <w:sz w:val="32"/>
          <w:szCs w:val="32"/>
          <w:lang w:val="en-US" w:eastAsia="zh-CN"/>
          <w14:textFill>
            <w14:solidFill>
              <w14:schemeClr w14:val="tx1"/>
            </w14:solidFill>
          </w14:textFill>
        </w:rPr>
        <w:t>77吨/年。</w:t>
      </w:r>
    </w:p>
    <w:p w14:paraId="1C4520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0000FF"/>
          <w:sz w:val="32"/>
          <w:szCs w:val="32"/>
        </w:rPr>
      </w:pPr>
      <w:r>
        <w:rPr>
          <w:rFonts w:hint="eastAsia" w:ascii="仿宋_GB2312" w:eastAsia="仿宋_GB2312"/>
          <w:color w:val="000000" w:themeColor="text1"/>
          <w:sz w:val="32"/>
          <w:szCs w:val="32"/>
          <w14:textFill>
            <w14:solidFill>
              <w14:schemeClr w14:val="tx1"/>
            </w14:solidFill>
          </w14:textFill>
        </w:rPr>
        <w:t>（三）施工期噪声排放执行《建筑施工场界环境噪声排放标准》（GB 12523-2011）表1建筑施工场界环境噪声排放限值。营运期边界噪声排放执行《工业企业厂界环境噪声排放标准》（GB12348-2008）3类区限值，即：昼间≤65dB(A)，夜间≤55dB(A)</w:t>
      </w:r>
      <w:r>
        <w:rPr>
          <w:rFonts w:hint="eastAsia" w:ascii="仿宋_GB2312" w:eastAsia="仿宋_GB2312" w:cs="Times New Roman"/>
          <w:color w:val="000000" w:themeColor="text1"/>
          <w:sz w:val="32"/>
          <w:szCs w:val="32"/>
          <w14:textFill>
            <w14:solidFill>
              <w14:schemeClr w14:val="tx1"/>
            </w14:solidFill>
          </w14:textFill>
        </w:rPr>
        <w:t>。</w:t>
      </w:r>
    </w:p>
    <w:p w14:paraId="5D589B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三、该项目应当认真落实《报告表》提出的各项环境保护措施，重点做好以下工作：</w:t>
      </w:r>
    </w:p>
    <w:p w14:paraId="548C04D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（一）排水</w:t>
      </w:r>
      <w:r>
        <w:rPr>
          <w:rFonts w:hint="eastAsia" w:ascii="仿宋_GB2312" w:eastAsia="仿宋_GB2312" w:cs="Times New Roman"/>
          <w:color w:val="000000" w:themeColor="text1"/>
          <w:sz w:val="32"/>
          <w:szCs w:val="32"/>
          <w14:textFill>
            <w14:solidFill>
              <w14:schemeClr w14:val="tx1"/>
            </w14:solidFill>
          </w14:textFill>
        </w:rPr>
        <w:t>系统采用雨污分流。冷却</w:t>
      </w:r>
      <w:r>
        <w:rPr>
          <w:rFonts w:hint="eastAsia" w:ascii="仿宋_GB2312" w:eastAsia="仿宋_GB2312" w:cs="Times New Roman"/>
          <w:color w:val="000000" w:themeColor="text1"/>
          <w:sz w:val="32"/>
          <w:szCs w:val="32"/>
          <w:lang w:val="en-US" w:eastAsia="zh-CN"/>
          <w14:textFill>
            <w14:solidFill>
              <w14:schemeClr w14:val="tx1"/>
            </w14:solidFill>
          </w14:textFill>
        </w:rPr>
        <w:t>废</w:t>
      </w:r>
      <w:r>
        <w:rPr>
          <w:rFonts w:hint="eastAsia" w:ascii="仿宋_GB2312" w:eastAsia="仿宋_GB2312" w:cs="Times New Roman"/>
          <w:color w:val="000000" w:themeColor="text1"/>
          <w:sz w:val="32"/>
          <w:szCs w:val="32"/>
          <w14:textFill>
            <w14:solidFill>
              <w14:schemeClr w14:val="tx1"/>
            </w14:solidFill>
          </w14:textFill>
        </w:rPr>
        <w:t>水循环使用，</w:t>
      </w:r>
      <w:r>
        <w:rPr>
          <w:rFonts w:hint="eastAsia" w:ascii="仿宋_GB2312" w:eastAsia="仿宋_GB2312" w:cs="Times New Roman"/>
          <w:color w:val="000000" w:themeColor="text1"/>
          <w:sz w:val="32"/>
          <w:szCs w:val="32"/>
          <w:lang w:val="en-US" w:eastAsia="zh-CN"/>
          <w14:textFill>
            <w14:solidFill>
              <w14:schemeClr w14:val="tx1"/>
            </w14:solidFill>
          </w14:textFill>
        </w:rPr>
        <w:t>定期更换外排</w:t>
      </w:r>
      <w:r>
        <w:rPr>
          <w:rFonts w:hint="eastAsia" w:ascii="仿宋_GB2312" w:eastAsia="仿宋_GB2312" w:cs="Times New Roman"/>
          <w:color w:val="000000" w:themeColor="text1"/>
          <w:sz w:val="32"/>
          <w:szCs w:val="32"/>
          <w14:textFill>
            <w14:solidFill>
              <w14:schemeClr w14:val="tx1"/>
            </w14:solidFill>
          </w14:textFill>
        </w:rPr>
        <w:t>。生活污水</w:t>
      </w:r>
      <w:r>
        <w:rPr>
          <w:rFonts w:hint="eastAsia" w:ascii="仿宋_GB2312" w:eastAsia="仿宋_GB2312" w:cs="Times New Roman"/>
          <w:color w:val="000000" w:themeColor="text1"/>
          <w:sz w:val="32"/>
          <w:szCs w:val="32"/>
          <w:lang w:eastAsia="zh-CN"/>
          <w14:textFill>
            <w14:solidFill>
              <w14:schemeClr w14:val="tx1"/>
            </w14:solidFill>
          </w14:textFill>
        </w:rPr>
        <w:t>经三级化粪池预处理后，</w:t>
      </w:r>
      <w:r>
        <w:rPr>
          <w:rFonts w:hint="eastAsia" w:ascii="仿宋_GB2312" w:eastAsia="仿宋_GB2312" w:cs="Times New Roman"/>
          <w:color w:val="000000" w:themeColor="text1"/>
          <w:sz w:val="32"/>
          <w:szCs w:val="32"/>
          <w:lang w:val="en-US" w:eastAsia="zh-CN"/>
          <w14:textFill>
            <w14:solidFill>
              <w14:schemeClr w14:val="tx1"/>
            </w14:solidFill>
          </w14:textFill>
        </w:rPr>
        <w:t>与更换的冷却废水一并</w:t>
      </w:r>
      <w:r>
        <w:rPr>
          <w:rFonts w:hint="eastAsia" w:ascii="仿宋_GB2312" w:eastAsia="仿宋_GB2312" w:cs="Times New Roman"/>
          <w:color w:val="000000" w:themeColor="text1"/>
          <w:sz w:val="32"/>
          <w:szCs w:val="32"/>
          <w14:textFill>
            <w14:solidFill>
              <w14:schemeClr w14:val="tx1"/>
            </w14:solidFill>
          </w14:textFill>
        </w:rPr>
        <w:t>排入市政集污</w:t>
      </w:r>
      <w:r>
        <w:rPr>
          <w:rFonts w:hint="eastAsia" w:ascii="仿宋_GB2312" w:eastAsia="仿宋_GB2312"/>
          <w:color w:val="000000" w:themeColor="text1"/>
          <w:sz w:val="32"/>
          <w:szCs w:val="32"/>
          <w14:textFill>
            <w14:solidFill>
              <w14:schemeClr w14:val="tx1"/>
            </w14:solidFill>
          </w14:textFill>
        </w:rPr>
        <w:t>管网，送</w:t>
      </w:r>
      <w:r>
        <w:rPr>
          <w:rFonts w:hint="eastAsia" w:ascii="仿宋_GB2312" w:eastAsia="仿宋_GB2312"/>
          <w:color w:val="000000" w:themeColor="text1"/>
          <w:sz w:val="32"/>
          <w:szCs w:val="32"/>
          <w:lang w:val="en-US" w:eastAsia="zh-CN"/>
          <w14:textFill>
            <w14:solidFill>
              <w14:schemeClr w14:val="tx1"/>
            </w14:solidFill>
          </w14:textFill>
        </w:rPr>
        <w:t>前锋</w:t>
      </w:r>
      <w:r>
        <w:rPr>
          <w:rFonts w:hint="eastAsia" w:ascii="仿宋_GB2312" w:eastAsia="仿宋_GB2312"/>
          <w:color w:val="000000" w:themeColor="text1"/>
          <w:sz w:val="32"/>
          <w:szCs w:val="32"/>
          <w14:textFill>
            <w14:solidFill>
              <w14:schemeClr w14:val="tx1"/>
            </w14:solidFill>
          </w14:textFill>
        </w:rPr>
        <w:t>净水厂</w:t>
      </w:r>
      <w:r>
        <w:rPr>
          <w:rFonts w:hint="eastAsia" w:ascii="仿宋_GB2312" w:eastAsia="仿宋_GB2312"/>
          <w:color w:val="000000" w:themeColor="text1"/>
          <w:sz w:val="32"/>
          <w:szCs w:val="32"/>
          <w:lang w:val="en-US" w:eastAsia="zh-CN"/>
          <w14:textFill>
            <w14:solidFill>
              <w14:schemeClr w14:val="tx1"/>
            </w14:solidFill>
          </w14:textFill>
        </w:rPr>
        <w:t>集中</w:t>
      </w:r>
      <w:r>
        <w:rPr>
          <w:rFonts w:hint="eastAsia" w:ascii="仿宋_GB2312" w:eastAsia="仿宋_GB2312"/>
          <w:color w:val="000000" w:themeColor="text1"/>
          <w:sz w:val="32"/>
          <w:szCs w:val="32"/>
          <w14:textFill>
            <w14:solidFill>
              <w14:schemeClr w14:val="tx1"/>
            </w14:solidFill>
          </w14:textFill>
        </w:rPr>
        <w:t>处理。项目设置</w:t>
      </w:r>
      <w:r>
        <w:rPr>
          <w:rFonts w:hint="eastAsia" w:ascii="仿宋_GB2312" w:eastAsia="仿宋_GB2312"/>
          <w:color w:val="000000" w:themeColor="text1"/>
          <w:sz w:val="32"/>
          <w:szCs w:val="32"/>
          <w:lang w:val="en-US" w:eastAsia="zh-CN"/>
          <w14:textFill>
            <w14:solidFill>
              <w14:schemeClr w14:val="tx1"/>
            </w14:solidFill>
          </w14:textFill>
        </w:rPr>
        <w:t>废水总排口1</w:t>
      </w:r>
      <w:r>
        <w:rPr>
          <w:rFonts w:hint="eastAsia" w:ascii="仿宋_GB2312" w:eastAsia="仿宋_GB2312"/>
          <w:color w:val="000000" w:themeColor="text1"/>
          <w:sz w:val="32"/>
          <w:szCs w:val="32"/>
          <w14:textFill>
            <w14:solidFill>
              <w14:schemeClr w14:val="tx1"/>
            </w14:solidFill>
          </w14:textFill>
        </w:rPr>
        <w:t>个。</w:t>
      </w:r>
    </w:p>
    <w:p w14:paraId="3A96B3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丝印工序仅使用水性油墨</w:t>
      </w:r>
      <w:r>
        <w:rPr>
          <w:rFonts w:hint="eastAsia" w:ascii="仿宋_GB2312" w:eastAsia="仿宋_GB2312"/>
          <w:color w:val="auto"/>
          <w:sz w:val="32"/>
          <w:szCs w:val="32"/>
          <w:lang w:eastAsia="zh-CN"/>
        </w:rPr>
        <w:t>。丝印、注塑、吹瓶产生的废气</w:t>
      </w:r>
      <w:r>
        <w:rPr>
          <w:rFonts w:hint="eastAsia" w:ascii="仿宋_GB2312" w:eastAsia="仿宋_GB2312"/>
          <w:color w:val="auto"/>
          <w:sz w:val="32"/>
          <w:szCs w:val="32"/>
          <w:lang w:val="en-US" w:eastAsia="zh-CN"/>
        </w:rPr>
        <w:t>与</w:t>
      </w:r>
      <w:r>
        <w:rPr>
          <w:rFonts w:hint="eastAsia" w:ascii="仿宋_GB2312" w:eastAsia="仿宋_GB2312"/>
          <w:color w:val="auto"/>
          <w:sz w:val="32"/>
          <w:szCs w:val="32"/>
        </w:rPr>
        <w:t>注胶成型</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固化工序产生的废气分别经密闭负压</w:t>
      </w:r>
      <w:r>
        <w:rPr>
          <w:rFonts w:hint="eastAsia" w:ascii="仿宋_GB2312" w:eastAsia="仿宋_GB2312"/>
          <w:color w:val="auto"/>
          <w:sz w:val="32"/>
          <w:szCs w:val="32"/>
          <w:lang w:eastAsia="zh-CN"/>
        </w:rPr>
        <w:t>收集至</w:t>
      </w:r>
      <w:r>
        <w:rPr>
          <w:rFonts w:hint="eastAsia" w:ascii="仿宋_GB2312" w:eastAsia="仿宋_GB2312"/>
          <w:color w:val="auto"/>
          <w:sz w:val="32"/>
          <w:szCs w:val="32"/>
          <w:lang w:val="en-US" w:eastAsia="zh-CN"/>
        </w:rPr>
        <w:t>两套</w:t>
      </w:r>
      <w:r>
        <w:rPr>
          <w:rFonts w:hint="eastAsia" w:ascii="仿宋_GB2312" w:eastAsia="仿宋_GB2312"/>
          <w:color w:val="auto"/>
          <w:sz w:val="32"/>
          <w:szCs w:val="32"/>
          <w:lang w:eastAsia="zh-CN"/>
        </w:rPr>
        <w:t>二级活性炭吸附</w:t>
      </w:r>
      <w:r>
        <w:rPr>
          <w:rFonts w:hint="eastAsia" w:ascii="仿宋_GB2312" w:eastAsia="仿宋_GB2312"/>
          <w:color w:val="auto"/>
          <w:sz w:val="32"/>
          <w:szCs w:val="32"/>
          <w:lang w:val="en-US" w:eastAsia="zh-CN"/>
        </w:rPr>
        <w:t>装置</w:t>
      </w:r>
      <w:r>
        <w:rPr>
          <w:rFonts w:hint="eastAsia" w:ascii="仿宋_GB2312" w:eastAsia="仿宋_GB2312"/>
          <w:color w:val="auto"/>
          <w:sz w:val="32"/>
          <w:szCs w:val="32"/>
          <w:lang w:eastAsia="zh-CN"/>
        </w:rPr>
        <w:t>处理，</w:t>
      </w:r>
      <w:r>
        <w:rPr>
          <w:rFonts w:hint="eastAsia" w:ascii="仿宋_GB2312" w:eastAsia="仿宋_GB2312"/>
          <w:color w:val="auto"/>
          <w:sz w:val="32"/>
          <w:szCs w:val="32"/>
          <w:lang w:val="en-US" w:eastAsia="zh-CN"/>
        </w:rPr>
        <w:t>处理</w:t>
      </w:r>
      <w:r>
        <w:rPr>
          <w:rFonts w:hint="eastAsia" w:ascii="仿宋_GB2312" w:eastAsia="仿宋_GB2312"/>
          <w:color w:val="auto"/>
          <w:sz w:val="32"/>
          <w:szCs w:val="32"/>
          <w:lang w:eastAsia="zh-CN"/>
        </w:rPr>
        <w:t>后</w:t>
      </w:r>
      <w:r>
        <w:rPr>
          <w:rFonts w:hint="eastAsia" w:ascii="仿宋_GB2312" w:eastAsia="仿宋_GB2312"/>
          <w:color w:val="auto"/>
          <w:sz w:val="32"/>
          <w:szCs w:val="32"/>
          <w:lang w:val="en-US" w:eastAsia="zh-CN"/>
        </w:rPr>
        <w:t>分别引至所在建筑物楼顶高空排放</w:t>
      </w:r>
      <w:r>
        <w:rPr>
          <w:rFonts w:hint="eastAsia" w:ascii="仿宋_GB2312" w:eastAsia="仿宋_GB2312"/>
          <w:color w:val="auto"/>
          <w:sz w:val="32"/>
          <w:szCs w:val="32"/>
        </w:rPr>
        <w:t>，备用柴油发电机</w:t>
      </w:r>
      <w:r>
        <w:rPr>
          <w:rFonts w:hint="eastAsia" w:ascii="仿宋_GB2312" w:eastAsia="仿宋_GB2312"/>
          <w:color w:val="auto"/>
          <w:sz w:val="32"/>
          <w:szCs w:val="32"/>
          <w:lang w:val="en-US" w:eastAsia="zh-CN"/>
        </w:rPr>
        <w:t>燃烧尾气通过专用管道引至所在建筑物楼顶高空排放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排气筒高度不低于15米。</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个。</w:t>
      </w:r>
    </w:p>
    <w:p w14:paraId="148AB7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w:t>
      </w:r>
      <w:r>
        <w:rPr>
          <w:rFonts w:hint="eastAsia" w:ascii="仿宋_GB2312" w:eastAsia="仿宋_GB2312" w:cs="Times New Roman"/>
          <w:color w:val="000000" w:themeColor="text1"/>
          <w:sz w:val="32"/>
          <w:szCs w:val="32"/>
          <w14:textFill>
            <w14:solidFill>
              <w14:schemeClr w14:val="tx1"/>
            </w14:solidFill>
          </w14:textFill>
        </w:rPr>
        <w:t>废切削液及沾切削液的金属沉渣、废火花机油及沾火花机油的金属屑、废机油、废包装桶、沾油废抹布及手套、废丝印版、设备清洗废水、废活性炭</w:t>
      </w:r>
      <w:r>
        <w:rPr>
          <w:rFonts w:hint="eastAsia" w:ascii="仿宋_GB2312" w:eastAsia="仿宋_GB2312" w:cs="Times New Roman"/>
          <w:color w:val="000000" w:themeColor="text1"/>
          <w:sz w:val="32"/>
          <w:szCs w:val="32"/>
          <w:lang w:eastAsia="zh-CN"/>
          <w14:textFill>
            <w14:solidFill>
              <w14:schemeClr w14:val="tx1"/>
            </w14:solidFill>
          </w14:textFill>
        </w:rPr>
        <w:t>等</w:t>
      </w:r>
      <w:r>
        <w:rPr>
          <w:rFonts w:hint="eastAsia" w:ascii="仿宋_GB2312" w:eastAsia="仿宋_GB2312" w:cs="Times New Roman"/>
          <w:color w:val="000000" w:themeColor="text1"/>
          <w:sz w:val="32"/>
          <w:szCs w:val="32"/>
          <w:lang w:val="en-US" w:eastAsia="zh-CN"/>
          <w14:textFill>
            <w14:solidFill>
              <w14:schemeClr w14:val="tx1"/>
            </w14:solidFill>
          </w14:textFill>
        </w:rPr>
        <w:t>属于</w:t>
      </w:r>
      <w:r>
        <w:rPr>
          <w:rFonts w:hint="eastAsia" w:ascii="仿宋_GB2312" w:eastAsia="仿宋_GB2312" w:cs="Times New Roman"/>
          <w:color w:val="000000" w:themeColor="text1"/>
          <w:sz w:val="32"/>
          <w:szCs w:val="32"/>
          <w14:textFill>
            <w14:solidFill>
              <w14:schemeClr w14:val="tx1"/>
            </w14:solidFill>
          </w14:textFill>
        </w:rPr>
        <w:t>危险废物</w:t>
      </w:r>
      <w:r>
        <w:rPr>
          <w:rFonts w:hint="eastAsia" w:ascii="仿宋_GB2312" w:eastAsia="仿宋_GB2312" w:cs="Times New Roman"/>
          <w:color w:val="000000" w:themeColor="text1"/>
          <w:sz w:val="32"/>
          <w:szCs w:val="32"/>
          <w:lang w:val="en-US" w:eastAsia="zh-CN"/>
          <w14:textFill>
            <w14:solidFill>
              <w14:schemeClr w14:val="tx1"/>
            </w14:solidFill>
          </w14:textFill>
        </w:rPr>
        <w:t>的</w:t>
      </w:r>
      <w:r>
        <w:rPr>
          <w:rFonts w:hint="eastAsia" w:ascii="仿宋_GB2312" w:eastAsia="仿宋_GB2312" w:cs="Times New Roman"/>
          <w:color w:val="000000" w:themeColor="text1"/>
          <w:sz w:val="32"/>
          <w:szCs w:val="32"/>
          <w14:textFill>
            <w14:solidFill>
              <w14:schemeClr w14:val="tx1"/>
            </w14:solidFill>
          </w14:textFill>
        </w:rPr>
        <w:t>须设置符</w:t>
      </w:r>
      <w:r>
        <w:rPr>
          <w:rFonts w:hint="eastAsia" w:ascii="仿宋_GB2312" w:eastAsia="仿宋_GB2312"/>
          <w:color w:val="000000" w:themeColor="text1"/>
          <w:sz w:val="32"/>
          <w:szCs w:val="32"/>
          <w14:textFill>
            <w14:solidFill>
              <w14:schemeClr w14:val="tx1"/>
            </w14:solidFill>
          </w14:textFill>
        </w:rPr>
        <w:t>合《危险废物贮存污染控制标准》（GB18597-20</w:t>
      </w:r>
      <w:r>
        <w:rPr>
          <w:rFonts w:hint="eastAsia" w:ascii="仿宋_GB2312" w:eastAsia="仿宋_GB2312"/>
          <w:color w:val="000000" w:themeColor="text1"/>
          <w:sz w:val="32"/>
          <w:szCs w:val="32"/>
          <w:lang w:val="en-US" w:eastAsia="zh-CN"/>
          <w14:textFill>
            <w14:solidFill>
              <w14:schemeClr w14:val="tx1"/>
            </w14:solidFill>
          </w14:textFill>
        </w:rPr>
        <w:t>23</w:t>
      </w:r>
      <w:r>
        <w:rPr>
          <w:rFonts w:hint="eastAsia" w:ascii="仿宋_GB2312" w:eastAsia="仿宋_GB2312"/>
          <w:color w:val="000000" w:themeColor="text1"/>
          <w:sz w:val="32"/>
          <w:szCs w:val="32"/>
          <w14:textFill>
            <w14:solidFill>
              <w14:schemeClr w14:val="tx1"/>
            </w14:solidFill>
          </w14:textFill>
        </w:rPr>
        <w:t>）要求的专用贮存场所存放并委托具备危险废物处理资质的机构处理。</w:t>
      </w:r>
    </w:p>
    <w:p w14:paraId="1753980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）督促施工单位落实《报告表》提出的施工期污染防治措施，做好该项目施工现场的环保工作，防止施工粉尘、噪声和污水等对周围环境造成影</w:t>
      </w:r>
      <w:r>
        <w:rPr>
          <w:rFonts w:hint="eastAsia" w:ascii="仿宋_GB2312" w:eastAsia="仿宋_GB2312" w:cs="Times New Roman"/>
          <w:color w:val="000000" w:themeColor="text1"/>
          <w:sz w:val="32"/>
          <w:szCs w:val="32"/>
          <w14:textFill>
            <w14:solidFill>
              <w14:schemeClr w14:val="tx1"/>
            </w14:solidFill>
          </w14:textFill>
        </w:rPr>
        <w:t>响。</w:t>
      </w:r>
    </w:p>
    <w:p w14:paraId="68954A2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2D11992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59C5D8D3">
      <w:pPr>
        <w:pStyle w:val="19"/>
        <w:keepNext w:val="0"/>
        <w:keepLines w:val="0"/>
        <w:pageBreakBefore w:val="0"/>
        <w:kinsoku/>
        <w:wordWrap/>
        <w:overflowPunct/>
        <w:topLinePunct w:val="0"/>
        <w:autoSpaceDE/>
        <w:autoSpaceDN/>
        <w:bidi w:val="0"/>
        <w:adjustRightInd/>
        <w:snapToGrid/>
        <w:spacing w:line="560" w:lineRule="exact"/>
        <w:ind w:firstLine="636"/>
        <w:textAlignment w:val="auto"/>
        <w:rPr>
          <w:rFonts w:hint="eastAsia" w:ascii="仿宋_GB2312" w:hAnsi="仿宋" w:eastAsia="仿宋_GB2312"/>
          <w:color w:val="auto"/>
          <w:sz w:val="32"/>
        </w:rPr>
      </w:pPr>
      <w:r>
        <w:rPr>
          <w:rFonts w:hint="eastAsia" w:ascii="仿宋_GB2312" w:eastAsia="仿宋_GB2312"/>
          <w:color w:val="auto"/>
          <w:sz w:val="32"/>
          <w:szCs w:val="32"/>
          <w:lang w:val="en-US" w:eastAsia="zh-CN"/>
        </w:rPr>
        <w:t>八</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6275FD73">
      <w:pPr>
        <w:pStyle w:val="19"/>
        <w:keepNext w:val="0"/>
        <w:keepLines w:val="0"/>
        <w:pageBreakBefore w:val="0"/>
        <w:kinsoku/>
        <w:wordWrap/>
        <w:overflowPunct/>
        <w:topLinePunct w:val="0"/>
        <w:autoSpaceDE/>
        <w:autoSpaceDN/>
        <w:bidi w:val="0"/>
        <w:adjustRightInd/>
        <w:snapToGrid/>
        <w:spacing w:line="560" w:lineRule="exact"/>
        <w:ind w:firstLine="636"/>
        <w:textAlignment w:val="auto"/>
        <w:rPr>
          <w:rFonts w:hint="eastAsia" w:ascii="仿宋_GB2312" w:hAnsi="仿宋" w:eastAsia="仿宋_GB2312"/>
          <w:b w:val="0"/>
          <w:bCs w:val="0"/>
          <w:color w:val="000000" w:themeColor="text1"/>
          <w:sz w:val="32"/>
          <w14:textFill>
            <w14:solidFill>
              <w14:schemeClr w14:val="tx1"/>
            </w14:solidFill>
          </w14:textFill>
        </w:rPr>
      </w:pPr>
      <w:r>
        <w:rPr>
          <w:rFonts w:hint="eastAsia" w:ascii="仿宋_GB2312" w:hAnsi="仿宋" w:eastAsia="仿宋_GB2312" w:cs="Times New Roman"/>
          <w:b w:val="0"/>
          <w:bCs w:val="0"/>
          <w:color w:val="000000" w:themeColor="text1"/>
          <w:sz w:val="32"/>
          <w:lang w:val="en-US" w:eastAsia="zh-CN"/>
          <w14:textFill>
            <w14:solidFill>
              <w14:schemeClr w14:val="tx1"/>
            </w14:solidFill>
          </w14:textFill>
        </w:rPr>
        <w:t>九、</w:t>
      </w:r>
      <w:r>
        <w:rPr>
          <w:rFonts w:hint="eastAsia" w:ascii="仿宋_GB2312" w:hAnsi="仿宋" w:eastAsia="仿宋_GB2312" w:cs="Times New Roman"/>
          <w:b w:val="0"/>
          <w:bCs w:val="0"/>
          <w:color w:val="000000" w:themeColor="text1"/>
          <w:sz w:val="32"/>
          <w14:textFill>
            <w14:solidFill>
              <w14:schemeClr w14:val="tx1"/>
            </w14:solidFill>
          </w14:textFill>
        </w:rPr>
        <w:t>自本批复批准之日起，原批复文件同时废止。</w:t>
      </w:r>
    </w:p>
    <w:p w14:paraId="1DEC4323">
      <w:pPr>
        <w:pStyle w:val="19"/>
        <w:keepNext w:val="0"/>
        <w:keepLines w:val="0"/>
        <w:pageBreakBefore w:val="0"/>
        <w:kinsoku/>
        <w:overflowPunct/>
        <w:topLinePunct w:val="0"/>
        <w:autoSpaceDE/>
        <w:autoSpaceDN/>
        <w:bidi w:val="0"/>
        <w:spacing w:line="560" w:lineRule="exact"/>
        <w:textAlignment w:val="auto"/>
        <w:rPr>
          <w:rFonts w:hint="eastAsia" w:ascii="仿宋_GB2312" w:hAnsi="仿宋" w:eastAsia="仿宋_GB2312"/>
          <w:color w:val="auto"/>
          <w:sz w:val="32"/>
        </w:rPr>
      </w:pP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8CA59C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F933D02">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85A6EC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02EA4C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AB562B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284A0D8">
      <w:pPr>
        <w:keepNext w:val="0"/>
        <w:keepLines w:val="0"/>
        <w:pageBreakBefore w:val="0"/>
        <w:kinsoku/>
        <w:overflowPunct/>
        <w:topLinePunct w:val="0"/>
        <w:autoSpaceDE/>
        <w:autoSpaceDN/>
        <w:bidi w:val="0"/>
        <w:spacing w:line="560" w:lineRule="exact"/>
        <w:textAlignment w:val="auto"/>
        <w:rPr>
          <w:rFonts w:hint="eastAsia" w:ascii="黑体" w:eastAsia="黑体"/>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四</w:t>
      </w:r>
      <w:r>
        <w:rPr>
          <w:rFonts w:hint="eastAsia" w:ascii="仿宋_GB2312" w:eastAsia="仿宋_GB2312"/>
          <w:color w:val="auto"/>
          <w:sz w:val="28"/>
          <w:szCs w:val="28"/>
        </w:rPr>
        <w:t>环保所，广东润环环境科技有限公司。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10"/>
        <w:rFonts w:ascii="宋体" w:hAnsi="宋体"/>
        <w:sz w:val="28"/>
        <w:szCs w:val="28"/>
      </w:rPr>
    </w:pP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3</w:t>
    </w:r>
    <w:r>
      <w:rPr>
        <w:rStyle w:val="10"/>
        <w:rFonts w:ascii="宋体" w:hAnsi="宋体"/>
        <w:sz w:val="28"/>
        <w:szCs w:val="28"/>
      </w:rPr>
      <w:fldChar w:fldCharType="end"/>
    </w:r>
    <w:r>
      <w:rPr>
        <w:rStyle w:val="10"/>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75A86EC9">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02573"/>
    <w:multiLevelType w:val="singleLevel"/>
    <w:tmpl w:val="9E60257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attachedTemplate r:id="rId1"/>
  <w:documentProtection w:enforcement="0"/>
  <w:defaultTabStop w:val="420"/>
  <w:drawingGridHorizontalSpacing w:val="158"/>
  <w:drawingGridVerticalSpacing w:val="6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2361C2"/>
    <w:rsid w:val="01631F2C"/>
    <w:rsid w:val="020C3600"/>
    <w:rsid w:val="02FF41F8"/>
    <w:rsid w:val="03151C1F"/>
    <w:rsid w:val="039E0DF7"/>
    <w:rsid w:val="03EF3B00"/>
    <w:rsid w:val="083C20B8"/>
    <w:rsid w:val="08B17951"/>
    <w:rsid w:val="08B408D6"/>
    <w:rsid w:val="091426BE"/>
    <w:rsid w:val="091574A4"/>
    <w:rsid w:val="09296316"/>
    <w:rsid w:val="097F12A3"/>
    <w:rsid w:val="0A3367C8"/>
    <w:rsid w:val="0A945568"/>
    <w:rsid w:val="0AB6351E"/>
    <w:rsid w:val="0AC460B7"/>
    <w:rsid w:val="0B1161B7"/>
    <w:rsid w:val="0B1F3303"/>
    <w:rsid w:val="0B2B0F5F"/>
    <w:rsid w:val="0B815A0B"/>
    <w:rsid w:val="0BEC2D80"/>
    <w:rsid w:val="0C7516B2"/>
    <w:rsid w:val="0C807692"/>
    <w:rsid w:val="0DE36B99"/>
    <w:rsid w:val="0DFB2E48"/>
    <w:rsid w:val="0E3B3C64"/>
    <w:rsid w:val="0F0373B1"/>
    <w:rsid w:val="0F0A6D3C"/>
    <w:rsid w:val="0F5B1FBE"/>
    <w:rsid w:val="0FD72C0C"/>
    <w:rsid w:val="10211D87"/>
    <w:rsid w:val="103E38B5"/>
    <w:rsid w:val="10BF38FB"/>
    <w:rsid w:val="10E93D4E"/>
    <w:rsid w:val="118D31D7"/>
    <w:rsid w:val="11B62D57"/>
    <w:rsid w:val="11CD7844"/>
    <w:rsid w:val="11F356F0"/>
    <w:rsid w:val="12737E91"/>
    <w:rsid w:val="12A63CA4"/>
    <w:rsid w:val="12DA5DA1"/>
    <w:rsid w:val="14985759"/>
    <w:rsid w:val="149C3766"/>
    <w:rsid w:val="1549557C"/>
    <w:rsid w:val="157D650A"/>
    <w:rsid w:val="15E169F5"/>
    <w:rsid w:val="15FC5020"/>
    <w:rsid w:val="167C0DF1"/>
    <w:rsid w:val="18833745"/>
    <w:rsid w:val="19AF0CB4"/>
    <w:rsid w:val="19EE61F4"/>
    <w:rsid w:val="19F023A6"/>
    <w:rsid w:val="1AB63394"/>
    <w:rsid w:val="1ADD2620"/>
    <w:rsid w:val="1B3E4C43"/>
    <w:rsid w:val="1BC528C4"/>
    <w:rsid w:val="1D4266B3"/>
    <w:rsid w:val="1D90641B"/>
    <w:rsid w:val="1E537B54"/>
    <w:rsid w:val="1E9C7B48"/>
    <w:rsid w:val="1EB5002E"/>
    <w:rsid w:val="1EC05BED"/>
    <w:rsid w:val="1F4D7EC7"/>
    <w:rsid w:val="1FE55890"/>
    <w:rsid w:val="20152766"/>
    <w:rsid w:val="201C12BD"/>
    <w:rsid w:val="20CF4E76"/>
    <w:rsid w:val="21533539"/>
    <w:rsid w:val="21C0196E"/>
    <w:rsid w:val="221365B8"/>
    <w:rsid w:val="22B10EF6"/>
    <w:rsid w:val="23241352"/>
    <w:rsid w:val="23CF38CC"/>
    <w:rsid w:val="243D7784"/>
    <w:rsid w:val="246C2851"/>
    <w:rsid w:val="24AD32BB"/>
    <w:rsid w:val="2537321F"/>
    <w:rsid w:val="26850942"/>
    <w:rsid w:val="26B164C1"/>
    <w:rsid w:val="275C5122"/>
    <w:rsid w:val="27987506"/>
    <w:rsid w:val="282A6A75"/>
    <w:rsid w:val="288E5F3F"/>
    <w:rsid w:val="28975DA4"/>
    <w:rsid w:val="28AE5DA0"/>
    <w:rsid w:val="29462609"/>
    <w:rsid w:val="29870F2F"/>
    <w:rsid w:val="299B7BD0"/>
    <w:rsid w:val="29BF490D"/>
    <w:rsid w:val="2A0C3F2F"/>
    <w:rsid w:val="2B6910C5"/>
    <w:rsid w:val="2BBD43D2"/>
    <w:rsid w:val="2CC9360B"/>
    <w:rsid w:val="2DCC08AF"/>
    <w:rsid w:val="2E142328"/>
    <w:rsid w:val="2E9B7C83"/>
    <w:rsid w:val="2ECA65D4"/>
    <w:rsid w:val="2F00322A"/>
    <w:rsid w:val="30357A24"/>
    <w:rsid w:val="307C5365"/>
    <w:rsid w:val="30A22B85"/>
    <w:rsid w:val="31D574D0"/>
    <w:rsid w:val="34A100EE"/>
    <w:rsid w:val="3541716C"/>
    <w:rsid w:val="35D37D9D"/>
    <w:rsid w:val="3616624B"/>
    <w:rsid w:val="36DC47B5"/>
    <w:rsid w:val="375955DE"/>
    <w:rsid w:val="37C2178A"/>
    <w:rsid w:val="37E24848"/>
    <w:rsid w:val="388C6C54"/>
    <w:rsid w:val="38CD2F41"/>
    <w:rsid w:val="38EB77CC"/>
    <w:rsid w:val="3A1D0EF5"/>
    <w:rsid w:val="3AA44A54"/>
    <w:rsid w:val="3AE822E0"/>
    <w:rsid w:val="3B617677"/>
    <w:rsid w:val="3C6C0E2E"/>
    <w:rsid w:val="3C872CDC"/>
    <w:rsid w:val="3C8B0C00"/>
    <w:rsid w:val="3CAB1C17"/>
    <w:rsid w:val="3CC7607D"/>
    <w:rsid w:val="3CCA53AD"/>
    <w:rsid w:val="3CF81873"/>
    <w:rsid w:val="3D3C5C83"/>
    <w:rsid w:val="3E322D18"/>
    <w:rsid w:val="3E7A698F"/>
    <w:rsid w:val="3EEA5570"/>
    <w:rsid w:val="3EEC344B"/>
    <w:rsid w:val="3FD1113F"/>
    <w:rsid w:val="41171C7F"/>
    <w:rsid w:val="418E5F9D"/>
    <w:rsid w:val="429A1953"/>
    <w:rsid w:val="42BF1B92"/>
    <w:rsid w:val="434D4C79"/>
    <w:rsid w:val="43D755DA"/>
    <w:rsid w:val="4469414C"/>
    <w:rsid w:val="450F1F75"/>
    <w:rsid w:val="453C3F01"/>
    <w:rsid w:val="45520847"/>
    <w:rsid w:val="45E73322"/>
    <w:rsid w:val="46151C09"/>
    <w:rsid w:val="461A6091"/>
    <w:rsid w:val="462D72B0"/>
    <w:rsid w:val="47826AD5"/>
    <w:rsid w:val="47DD774D"/>
    <w:rsid w:val="487B4576"/>
    <w:rsid w:val="48B60ED8"/>
    <w:rsid w:val="49383A30"/>
    <w:rsid w:val="494A394A"/>
    <w:rsid w:val="49AF6EF2"/>
    <w:rsid w:val="4A802862"/>
    <w:rsid w:val="4A8944F6"/>
    <w:rsid w:val="4AE22D88"/>
    <w:rsid w:val="4B621286"/>
    <w:rsid w:val="4C8B2B22"/>
    <w:rsid w:val="4CA1093F"/>
    <w:rsid w:val="4CDB6B18"/>
    <w:rsid w:val="4D1D2609"/>
    <w:rsid w:val="4D935553"/>
    <w:rsid w:val="4D9F4BE9"/>
    <w:rsid w:val="4E305A20"/>
    <w:rsid w:val="4EB11A7C"/>
    <w:rsid w:val="4EDE7AF4"/>
    <w:rsid w:val="4EE6167D"/>
    <w:rsid w:val="4F586ABA"/>
    <w:rsid w:val="4F9C166D"/>
    <w:rsid w:val="4FB46852"/>
    <w:rsid w:val="4FC000E6"/>
    <w:rsid w:val="50D21228"/>
    <w:rsid w:val="52870CCE"/>
    <w:rsid w:val="53406164"/>
    <w:rsid w:val="534A5134"/>
    <w:rsid w:val="53774CFF"/>
    <w:rsid w:val="53DE59A8"/>
    <w:rsid w:val="553B58E4"/>
    <w:rsid w:val="5562067A"/>
    <w:rsid w:val="55882160"/>
    <w:rsid w:val="55AA541C"/>
    <w:rsid w:val="55EF668D"/>
    <w:rsid w:val="567E16A6"/>
    <w:rsid w:val="5728768E"/>
    <w:rsid w:val="574C7DDE"/>
    <w:rsid w:val="58272CFA"/>
    <w:rsid w:val="585722FF"/>
    <w:rsid w:val="592D32D7"/>
    <w:rsid w:val="596879A6"/>
    <w:rsid w:val="59F57B8E"/>
    <w:rsid w:val="5A1F18EA"/>
    <w:rsid w:val="5A4F4638"/>
    <w:rsid w:val="5A8C6946"/>
    <w:rsid w:val="5B397E38"/>
    <w:rsid w:val="5B443C4B"/>
    <w:rsid w:val="5B7E4A72"/>
    <w:rsid w:val="5C104619"/>
    <w:rsid w:val="5D7673E3"/>
    <w:rsid w:val="5D7B386B"/>
    <w:rsid w:val="5DED0326"/>
    <w:rsid w:val="5DED6128"/>
    <w:rsid w:val="5E811B87"/>
    <w:rsid w:val="5E85179E"/>
    <w:rsid w:val="5F0D61FF"/>
    <w:rsid w:val="5FF25578"/>
    <w:rsid w:val="603315EF"/>
    <w:rsid w:val="609E0F14"/>
    <w:rsid w:val="60AF11AF"/>
    <w:rsid w:val="614E41B0"/>
    <w:rsid w:val="62973EAF"/>
    <w:rsid w:val="62BE08BB"/>
    <w:rsid w:val="631E222D"/>
    <w:rsid w:val="645E2BB9"/>
    <w:rsid w:val="647A6C66"/>
    <w:rsid w:val="650442EA"/>
    <w:rsid w:val="65187A69"/>
    <w:rsid w:val="651D79A2"/>
    <w:rsid w:val="654F3592"/>
    <w:rsid w:val="65720290"/>
    <w:rsid w:val="65D76BA2"/>
    <w:rsid w:val="6618540E"/>
    <w:rsid w:val="66B76211"/>
    <w:rsid w:val="66D37837"/>
    <w:rsid w:val="670A7A3E"/>
    <w:rsid w:val="679E2C8B"/>
    <w:rsid w:val="67F25F98"/>
    <w:rsid w:val="68F35B4F"/>
    <w:rsid w:val="6937082E"/>
    <w:rsid w:val="69713E8B"/>
    <w:rsid w:val="69EF3DF1"/>
    <w:rsid w:val="69F753E9"/>
    <w:rsid w:val="6ADB0EDF"/>
    <w:rsid w:val="6B2F71CC"/>
    <w:rsid w:val="6D1E5C16"/>
    <w:rsid w:val="6D8B22BF"/>
    <w:rsid w:val="6FAB07C2"/>
    <w:rsid w:val="6FB56B53"/>
    <w:rsid w:val="6FEB702D"/>
    <w:rsid w:val="70A906E5"/>
    <w:rsid w:val="72BF7DD0"/>
    <w:rsid w:val="73006EB1"/>
    <w:rsid w:val="73252FF8"/>
    <w:rsid w:val="73417714"/>
    <w:rsid w:val="73643DE1"/>
    <w:rsid w:val="73DC6F23"/>
    <w:rsid w:val="743E1546"/>
    <w:rsid w:val="747D1147"/>
    <w:rsid w:val="75C83E5E"/>
    <w:rsid w:val="762C5749"/>
    <w:rsid w:val="765C5FCF"/>
    <w:rsid w:val="77831323"/>
    <w:rsid w:val="77A5337F"/>
    <w:rsid w:val="77E07672"/>
    <w:rsid w:val="780A11FC"/>
    <w:rsid w:val="7825692D"/>
    <w:rsid w:val="78824C27"/>
    <w:rsid w:val="792451CB"/>
    <w:rsid w:val="79350CE9"/>
    <w:rsid w:val="79442D41"/>
    <w:rsid w:val="7ABA4368"/>
    <w:rsid w:val="7AEF6DC1"/>
    <w:rsid w:val="7B331FDF"/>
    <w:rsid w:val="7B5B3EF1"/>
    <w:rsid w:val="7B76251D"/>
    <w:rsid w:val="7BA07ADE"/>
    <w:rsid w:val="7BA515D0"/>
    <w:rsid w:val="7BD55DBA"/>
    <w:rsid w:val="7BD739DD"/>
    <w:rsid w:val="7C1A4BBF"/>
    <w:rsid w:val="7C2E2674"/>
    <w:rsid w:val="7D202558"/>
    <w:rsid w:val="7D630407"/>
    <w:rsid w:val="7E477DBC"/>
    <w:rsid w:val="7E4F6A23"/>
    <w:rsid w:val="7E5C44DF"/>
    <w:rsid w:val="7E71317F"/>
    <w:rsid w:val="7EC00980"/>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qFormat/>
    <w:uiPriority w:val="39"/>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页眉 Char"/>
    <w:basedOn w:val="9"/>
    <w:link w:val="5"/>
    <w:semiHidden/>
    <w:qFormat/>
    <w:uiPriority w:val="99"/>
    <w:rPr>
      <w:kern w:val="2"/>
      <w:sz w:val="18"/>
      <w:szCs w:val="18"/>
    </w:rPr>
  </w:style>
  <w:style w:type="character" w:customStyle="1" w:styleId="13">
    <w:name w:val="页脚 Char"/>
    <w:basedOn w:val="9"/>
    <w:link w:val="4"/>
    <w:qFormat/>
    <w:uiPriority w:val="99"/>
    <w:rPr>
      <w:kern w:val="2"/>
      <w:sz w:val="18"/>
      <w:szCs w:val="18"/>
    </w:rPr>
  </w:style>
  <w:style w:type="paragraph" w:customStyle="1" w:styleId="14">
    <w:name w:val="Char1"/>
    <w:basedOn w:val="1"/>
    <w:qFormat/>
    <w:uiPriority w:val="0"/>
    <w:pPr>
      <w:tabs>
        <w:tab w:val="left" w:pos="840"/>
      </w:tabs>
      <w:ind w:left="840" w:hanging="420"/>
    </w:pPr>
    <w:rPr>
      <w:rFonts w:ascii="Times New Roman" w:hAnsi="Times New Roman"/>
      <w:sz w:val="24"/>
      <w:szCs w:val="24"/>
    </w:rPr>
  </w:style>
  <w:style w:type="character" w:customStyle="1" w:styleId="15">
    <w:name w:val="批注文字 Char"/>
    <w:basedOn w:val="9"/>
    <w:link w:val="2"/>
    <w:semiHidden/>
    <w:qFormat/>
    <w:uiPriority w:val="99"/>
    <w:rPr>
      <w:kern w:val="2"/>
      <w:sz w:val="21"/>
      <w:szCs w:val="22"/>
    </w:rPr>
  </w:style>
  <w:style w:type="character" w:customStyle="1" w:styleId="16">
    <w:name w:val="批注主题 Char"/>
    <w:basedOn w:val="15"/>
    <w:link w:val="6"/>
    <w:semiHidden/>
    <w:qFormat/>
    <w:uiPriority w:val="99"/>
    <w:rPr>
      <w:b/>
      <w:bCs/>
    </w:rPr>
  </w:style>
  <w:style w:type="character" w:customStyle="1" w:styleId="17">
    <w:name w:val="批注框文本 Char"/>
    <w:basedOn w:val="9"/>
    <w:link w:val="3"/>
    <w:semiHidden/>
    <w:qFormat/>
    <w:uiPriority w:val="99"/>
    <w:rPr>
      <w:kern w:val="2"/>
      <w:sz w:val="18"/>
      <w:szCs w:val="18"/>
    </w:r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 w:type="paragraph" w:customStyle="1" w:styleId="1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正文！"/>
    <w:basedOn w:val="1"/>
    <w:qFormat/>
    <w:uiPriority w:val="99"/>
    <w:pPr>
      <w:adjustRightInd w:val="0"/>
      <w:snapToGrid w:val="0"/>
      <w:spacing w:line="360" w:lineRule="auto"/>
      <w:ind w:firstLine="200" w:firstLineChars="200"/>
    </w:pPr>
    <w:rPr>
      <w:rFonts w:ascii="Calibri" w:hAnsi="Calibri"/>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5</Pages>
  <Words>2766</Words>
  <Characters>2996</Characters>
  <Lines>19</Lines>
  <Paragraphs>5</Paragraphs>
  <TotalTime>1</TotalTime>
  <ScaleCrop>false</ScaleCrop>
  <LinksUpToDate>false</LinksUpToDate>
  <CharactersWithSpaces>3060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1</cp:lastModifiedBy>
  <cp:lastPrinted>2025-07-01T02:15:22Z</cp:lastPrinted>
  <dcterms:modified xsi:type="dcterms:W3CDTF">2025-07-01T02:17:10Z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ADB19179F5CB4101A46CAD4FCFF0EC67_13</vt:lpwstr>
  </property>
</Properties>
</file>