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FB" w:rsidRDefault="004054CE">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hint="eastAsia"/>
        </w:rPr>
        <w:t xml:space="preserve"> </w:t>
      </w:r>
      <w:r>
        <w:rPr>
          <w:rFonts w:ascii="仿宋_GB2312" w:hint="eastAsia"/>
          <w:color w:val="000000" w:themeColor="text1"/>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72</w:t>
      </w:r>
      <w:r>
        <w:rPr>
          <w:rFonts w:ascii="仿宋_GB2312" w:eastAsia="仿宋_GB2312" w:hint="eastAsia"/>
          <w:color w:val="000000" w:themeColor="text1"/>
          <w:sz w:val="32"/>
          <w:szCs w:val="32"/>
        </w:rPr>
        <w:t>号</w:t>
      </w:r>
    </w:p>
    <w:p w:rsidR="007E68FB" w:rsidRDefault="007E68FB">
      <w:pPr>
        <w:spacing w:line="560" w:lineRule="exact"/>
        <w:rPr>
          <w:rFonts w:ascii="黑体" w:eastAsia="黑体"/>
          <w:color w:val="000000" w:themeColor="text1"/>
        </w:rPr>
      </w:pPr>
    </w:p>
    <w:p w:rsidR="007E68FB" w:rsidRDefault="007E68FB">
      <w:pPr>
        <w:adjustRightInd w:val="0"/>
        <w:snapToGrid w:val="0"/>
        <w:spacing w:line="560" w:lineRule="exact"/>
        <w:rPr>
          <w:rFonts w:ascii="仿宋_GB2312"/>
          <w:color w:val="000000" w:themeColor="text1"/>
        </w:rPr>
      </w:pPr>
    </w:p>
    <w:p w:rsidR="007E68FB" w:rsidRDefault="004054CE">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广州市生态环境局关于广州市</w:t>
      </w:r>
      <w:proofErr w:type="gramStart"/>
      <w:r>
        <w:rPr>
          <w:rFonts w:ascii="方正小标宋简体" w:eastAsia="方正小标宋简体" w:hint="eastAsia"/>
          <w:color w:val="000000" w:themeColor="text1"/>
          <w:sz w:val="44"/>
          <w:szCs w:val="44"/>
        </w:rPr>
        <w:t>联合金</w:t>
      </w:r>
      <w:proofErr w:type="gramEnd"/>
      <w:r>
        <w:rPr>
          <w:rFonts w:ascii="方正小标宋简体" w:eastAsia="方正小标宋简体" w:hint="eastAsia"/>
          <w:color w:val="000000" w:themeColor="text1"/>
          <w:sz w:val="44"/>
          <w:szCs w:val="44"/>
        </w:rPr>
        <w:t>谷宠物</w:t>
      </w:r>
    </w:p>
    <w:p w:rsidR="007E68FB" w:rsidRDefault="004054CE">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医院合伙企业（有限合伙）建设项目</w:t>
      </w:r>
    </w:p>
    <w:p w:rsidR="007E68FB" w:rsidRDefault="004054CE">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7E68FB" w:rsidRDefault="007E68FB">
      <w:pPr>
        <w:spacing w:line="560" w:lineRule="exact"/>
        <w:rPr>
          <w:rFonts w:ascii="仿宋_GB2312" w:eastAsia="仿宋_GB2312"/>
          <w:color w:val="000000" w:themeColor="text1"/>
          <w:sz w:val="32"/>
          <w:szCs w:val="32"/>
        </w:rPr>
      </w:pPr>
    </w:p>
    <w:p w:rsidR="007E68FB" w:rsidRDefault="004054CE">
      <w:pPr>
        <w:spacing w:line="520" w:lineRule="exact"/>
        <w:rPr>
          <w:rFonts w:ascii="仿宋_GB2312" w:eastAsia="仿宋_GB2312"/>
          <w:color w:val="000000" w:themeColor="text1"/>
          <w:sz w:val="32"/>
          <w:szCs w:val="32"/>
        </w:rPr>
      </w:pPr>
      <w:r w:rsidRPr="00750D39">
        <w:rPr>
          <w:rFonts w:ascii="仿宋_GB2312" w:eastAsia="仿宋_GB2312" w:hint="eastAsia"/>
          <w:color w:val="000000" w:themeColor="text1"/>
          <w:spacing w:val="3"/>
          <w:w w:val="81"/>
          <w:kern w:val="0"/>
          <w:sz w:val="32"/>
          <w:szCs w:val="32"/>
          <w:fitText w:val="8640" w:id="304643334"/>
        </w:rPr>
        <w:t>广州市</w:t>
      </w:r>
      <w:proofErr w:type="gramStart"/>
      <w:r w:rsidRPr="00750D39">
        <w:rPr>
          <w:rFonts w:ascii="仿宋_GB2312" w:eastAsia="仿宋_GB2312" w:hint="eastAsia"/>
          <w:color w:val="000000" w:themeColor="text1"/>
          <w:spacing w:val="3"/>
          <w:w w:val="81"/>
          <w:kern w:val="0"/>
          <w:sz w:val="32"/>
          <w:szCs w:val="32"/>
          <w:fitText w:val="8640" w:id="304643334"/>
        </w:rPr>
        <w:t>联合金</w:t>
      </w:r>
      <w:proofErr w:type="gramEnd"/>
      <w:r w:rsidRPr="00750D39">
        <w:rPr>
          <w:rFonts w:ascii="仿宋_GB2312" w:eastAsia="仿宋_GB2312" w:hint="eastAsia"/>
          <w:color w:val="000000" w:themeColor="text1"/>
          <w:spacing w:val="3"/>
          <w:w w:val="81"/>
          <w:kern w:val="0"/>
          <w:sz w:val="32"/>
          <w:szCs w:val="32"/>
          <w:fitText w:val="8640" w:id="304643334"/>
        </w:rPr>
        <w:t>谷宠物医院合伙企业（有限合伙）</w:t>
      </w:r>
      <w:r w:rsidRPr="00750D39">
        <w:rPr>
          <w:rFonts w:ascii="仿宋_GB2312" w:eastAsia="仿宋_GB2312" w:hint="eastAsia"/>
          <w:color w:val="000000" w:themeColor="text1"/>
          <w:spacing w:val="3"/>
          <w:w w:val="81"/>
          <w:kern w:val="0"/>
          <w:sz w:val="32"/>
          <w:szCs w:val="32"/>
          <w:fitText w:val="8640" w:id="304643334"/>
        </w:rPr>
        <w:t>（</w:t>
      </w:r>
      <w:r w:rsidRPr="00750D39">
        <w:rPr>
          <w:rFonts w:ascii="仿宋_GB2312" w:eastAsia="仿宋_GB2312" w:hint="eastAsia"/>
          <w:color w:val="000000" w:themeColor="text1"/>
          <w:spacing w:val="3"/>
          <w:w w:val="81"/>
          <w:kern w:val="0"/>
          <w:sz w:val="32"/>
          <w:szCs w:val="32"/>
          <w:fitText w:val="8640" w:id="304643334"/>
        </w:rPr>
        <w:t>91440101MA9XQNYP9Y</w:t>
      </w:r>
      <w:r w:rsidRPr="00750D39">
        <w:rPr>
          <w:rFonts w:ascii="仿宋_GB2312" w:eastAsia="仿宋_GB2312" w:hint="eastAsia"/>
          <w:color w:val="000000" w:themeColor="text1"/>
          <w:spacing w:val="3"/>
          <w:w w:val="81"/>
          <w:kern w:val="0"/>
          <w:sz w:val="32"/>
          <w:szCs w:val="32"/>
          <w:fitText w:val="8640" w:id="304643334"/>
        </w:rPr>
        <w:t>）</w:t>
      </w:r>
      <w:r w:rsidRPr="00750D39">
        <w:rPr>
          <w:rFonts w:ascii="仿宋_GB2312" w:eastAsia="仿宋_GB2312" w:hint="eastAsia"/>
          <w:color w:val="000000" w:themeColor="text1"/>
          <w:spacing w:val="-24"/>
          <w:w w:val="81"/>
          <w:kern w:val="0"/>
          <w:sz w:val="32"/>
          <w:szCs w:val="32"/>
          <w:fitText w:val="8640" w:id="304643334"/>
        </w:rPr>
        <w:t>：</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你单位报送的《广州市联合金谷宠物医院合伙企业（有限合伙）建设项目环境影响报告表》（以下简称《报告表》）及附送资料收悉。经研究，现批复如下：</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一、广州市</w:t>
      </w:r>
      <w:proofErr w:type="gramStart"/>
      <w:r>
        <w:rPr>
          <w:rFonts w:ascii="仿宋_GB2312" w:eastAsia="仿宋_GB2312" w:hint="eastAsia"/>
          <w:color w:val="000000" w:themeColor="text1"/>
          <w:sz w:val="32"/>
          <w:szCs w:val="32"/>
        </w:rPr>
        <w:t>联合金</w:t>
      </w:r>
      <w:proofErr w:type="gramEnd"/>
      <w:r>
        <w:rPr>
          <w:rFonts w:ascii="仿宋_GB2312" w:eastAsia="仿宋_GB2312" w:hint="eastAsia"/>
          <w:color w:val="000000" w:themeColor="text1"/>
          <w:sz w:val="32"/>
          <w:szCs w:val="32"/>
        </w:rPr>
        <w:t>谷宠物医院合伙企业（有限合伙）建设项目（以下简称“该项目”）位于广州市</w:t>
      </w:r>
      <w:proofErr w:type="gramStart"/>
      <w:r>
        <w:rPr>
          <w:rFonts w:ascii="仿宋_GB2312" w:eastAsia="仿宋_GB2312" w:hint="eastAsia"/>
          <w:color w:val="000000" w:themeColor="text1"/>
          <w:sz w:val="32"/>
          <w:szCs w:val="32"/>
        </w:rPr>
        <w:t>番禺区</w:t>
      </w:r>
      <w:proofErr w:type="gramEnd"/>
      <w:r>
        <w:rPr>
          <w:rFonts w:ascii="仿宋_GB2312" w:eastAsia="仿宋_GB2312" w:hint="eastAsia"/>
          <w:color w:val="000000" w:themeColor="text1"/>
          <w:sz w:val="32"/>
          <w:szCs w:val="32"/>
        </w:rPr>
        <w:t>东环</w:t>
      </w:r>
      <w:proofErr w:type="gramStart"/>
      <w:r>
        <w:rPr>
          <w:rFonts w:ascii="仿宋_GB2312" w:eastAsia="仿宋_GB2312" w:hint="eastAsia"/>
          <w:color w:val="000000" w:themeColor="text1"/>
          <w:sz w:val="32"/>
          <w:szCs w:val="32"/>
        </w:rPr>
        <w:t>街东艺路</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号</w:t>
      </w:r>
      <w:proofErr w:type="gramEnd"/>
      <w:r>
        <w:rPr>
          <w:rFonts w:ascii="仿宋_GB2312" w:eastAsia="仿宋_GB2312" w:hint="eastAsia"/>
          <w:color w:val="000000" w:themeColor="text1"/>
          <w:sz w:val="32"/>
          <w:szCs w:val="32"/>
        </w:rPr>
        <w:t>110</w:t>
      </w:r>
      <w:r>
        <w:rPr>
          <w:rFonts w:ascii="仿宋_GB2312" w:eastAsia="仿宋_GB2312" w:hint="eastAsia"/>
          <w:color w:val="000000" w:themeColor="text1"/>
          <w:sz w:val="32"/>
          <w:szCs w:val="32"/>
        </w:rPr>
        <w:t>号一层</w:t>
      </w:r>
      <w:r>
        <w:rPr>
          <w:rFonts w:ascii="仿宋_GB2312" w:eastAsia="仿宋_GB2312" w:hint="eastAsia"/>
          <w:color w:val="000000" w:themeColor="text1"/>
          <w:sz w:val="32"/>
          <w:szCs w:val="32"/>
        </w:rPr>
        <w:t>03</w:t>
      </w:r>
      <w:r>
        <w:rPr>
          <w:rFonts w:ascii="仿宋_GB2312" w:eastAsia="仿宋_GB2312" w:hint="eastAsia"/>
          <w:color w:val="000000" w:themeColor="text1"/>
          <w:sz w:val="32"/>
          <w:szCs w:val="32"/>
        </w:rPr>
        <w:t>商铺，申报内容为</w:t>
      </w:r>
      <w:r>
        <w:rPr>
          <w:rFonts w:ascii="仿宋_GB2312" w:eastAsia="仿宋_GB2312" w:hint="eastAsia"/>
          <w:color w:val="000000" w:themeColor="text1"/>
          <w:sz w:val="32"/>
          <w:szCs w:val="32"/>
        </w:rPr>
        <w:t>主要从事宠物美容洗浴、宠物疾病预防、诊疗、治疗（含颅腔、腹腔及胸腔手术）和绝育手术</w:t>
      </w:r>
      <w:r>
        <w:rPr>
          <w:rFonts w:ascii="仿宋_GB2312" w:eastAsia="仿宋_GB2312" w:hint="eastAsia"/>
          <w:color w:val="000000" w:themeColor="text1"/>
          <w:sz w:val="32"/>
          <w:szCs w:val="32"/>
        </w:rPr>
        <w:t>。该项目占地面积</w:t>
      </w:r>
      <w:r>
        <w:rPr>
          <w:rFonts w:ascii="仿宋_GB2312" w:eastAsia="仿宋_GB2312" w:hint="eastAsia"/>
          <w:color w:val="000000" w:themeColor="text1"/>
          <w:sz w:val="32"/>
          <w:szCs w:val="32"/>
        </w:rPr>
        <w:t>138</w:t>
      </w:r>
      <w:r>
        <w:rPr>
          <w:rFonts w:ascii="仿宋_GB2312" w:eastAsia="仿宋_GB2312" w:hint="eastAsia"/>
          <w:color w:val="000000" w:themeColor="text1"/>
          <w:sz w:val="32"/>
          <w:szCs w:val="32"/>
        </w:rPr>
        <w:t>平方米，总建筑面积</w:t>
      </w:r>
      <w:r>
        <w:rPr>
          <w:rFonts w:ascii="仿宋_GB2312" w:eastAsia="仿宋_GB2312" w:hint="eastAsia"/>
          <w:color w:val="000000" w:themeColor="text1"/>
          <w:sz w:val="32"/>
          <w:szCs w:val="32"/>
        </w:rPr>
        <w:t>276</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层</w:t>
      </w:r>
      <w:r>
        <w:rPr>
          <w:rFonts w:ascii="仿宋_GB2312" w:eastAsia="仿宋_GB2312" w:hint="eastAsia"/>
          <w:color w:val="000000" w:themeColor="text1"/>
          <w:sz w:val="32"/>
          <w:szCs w:val="32"/>
        </w:rPr>
        <w:t>商住综合楼第一、二层的部分区域；</w:t>
      </w:r>
      <w:r>
        <w:rPr>
          <w:rFonts w:ascii="仿宋_GB2312" w:eastAsia="仿宋_GB2312" w:hint="eastAsia"/>
          <w:color w:val="000000" w:themeColor="text1"/>
          <w:sz w:val="32"/>
          <w:szCs w:val="32"/>
        </w:rPr>
        <w:t>主要设备有迈瑞</w:t>
      </w:r>
      <w:r>
        <w:rPr>
          <w:rFonts w:ascii="仿宋_GB2312" w:eastAsia="仿宋_GB2312" w:hint="eastAsia"/>
          <w:color w:val="000000" w:themeColor="text1"/>
          <w:sz w:val="32"/>
          <w:szCs w:val="32"/>
        </w:rPr>
        <w:t>B</w:t>
      </w:r>
      <w:r>
        <w:rPr>
          <w:rFonts w:ascii="仿宋_GB2312" w:eastAsia="仿宋_GB2312" w:hint="eastAsia"/>
          <w:color w:val="000000" w:themeColor="text1"/>
          <w:sz w:val="32"/>
          <w:szCs w:val="32"/>
        </w:rPr>
        <w:t>超机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台、兽用血液细胞分析仪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台、兽用监护仪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台、兽用血压计</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微纳芯</w:t>
      </w:r>
      <w:proofErr w:type="gramEnd"/>
      <w:r>
        <w:rPr>
          <w:rFonts w:ascii="仿宋_GB2312" w:eastAsia="仿宋_GB2312" w:hint="eastAsia"/>
          <w:color w:val="000000" w:themeColor="text1"/>
          <w:sz w:val="32"/>
          <w:szCs w:val="32"/>
        </w:rPr>
        <w:t>生化分析仪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台、动物专用血</w:t>
      </w:r>
      <w:proofErr w:type="gramStart"/>
      <w:r>
        <w:rPr>
          <w:rFonts w:ascii="仿宋_GB2312" w:eastAsia="仿宋_GB2312" w:hint="eastAsia"/>
          <w:color w:val="000000" w:themeColor="text1"/>
          <w:sz w:val="32"/>
          <w:szCs w:val="32"/>
        </w:rPr>
        <w:t>凝分析</w:t>
      </w:r>
      <w:proofErr w:type="gramEnd"/>
      <w:r>
        <w:rPr>
          <w:rFonts w:ascii="仿宋_GB2312" w:eastAsia="仿宋_GB2312" w:hint="eastAsia"/>
          <w:color w:val="000000" w:themeColor="text1"/>
          <w:sz w:val="32"/>
          <w:szCs w:val="32"/>
        </w:rPr>
        <w:t>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台、迈瑞呼吸麻醉机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台、兽用手术台</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莱卡三</w:t>
      </w:r>
      <w:proofErr w:type="gramEnd"/>
      <w:r>
        <w:rPr>
          <w:rFonts w:ascii="仿宋_GB2312" w:eastAsia="仿宋_GB2312" w:hint="eastAsia"/>
          <w:color w:val="000000" w:themeColor="text1"/>
          <w:sz w:val="32"/>
          <w:szCs w:val="32"/>
        </w:rPr>
        <w:t>目显微镜</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台、呼末二氧化碳监护仪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台、输液泵</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台、高压灭菌锅</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名，内部不安排食宿。该</w:t>
      </w:r>
      <w:r>
        <w:rPr>
          <w:rFonts w:ascii="仿宋_GB2312" w:eastAsia="仿宋_GB2312" w:hint="eastAsia"/>
          <w:color w:val="000000" w:themeColor="text1"/>
          <w:sz w:val="32"/>
          <w:szCs w:val="32"/>
        </w:rPr>
        <w:t>项目不接收传染性瘟病动物</w:t>
      </w:r>
      <w:r>
        <w:rPr>
          <w:rFonts w:ascii="仿宋_GB2312" w:eastAsia="仿宋_GB2312" w:hAnsi="Times New Roman" w:hint="eastAsia"/>
          <w:color w:val="000000" w:themeColor="text1"/>
          <w:sz w:val="32"/>
          <w:szCs w:val="32"/>
        </w:rPr>
        <w:t>；</w:t>
      </w:r>
      <w:r>
        <w:rPr>
          <w:rFonts w:ascii="仿宋_GB2312" w:eastAsia="仿宋_GB2312" w:hint="eastAsia"/>
          <w:color w:val="000000" w:themeColor="text1"/>
          <w:sz w:val="32"/>
          <w:szCs w:val="32"/>
        </w:rPr>
        <w:t>涉及的</w:t>
      </w:r>
      <w:r>
        <w:rPr>
          <w:rFonts w:ascii="仿宋_GB2312" w:eastAsia="仿宋_GB2312" w:hint="eastAsia"/>
          <w:color w:val="000000" w:themeColor="text1"/>
          <w:sz w:val="32"/>
          <w:szCs w:val="32"/>
        </w:rPr>
        <w:t>辐射内容不在本次评价范围内，另行单独办理相关环保手续。</w:t>
      </w:r>
    </w:p>
    <w:p w:rsidR="007E68FB" w:rsidRDefault="007E68FB">
      <w:pPr>
        <w:spacing w:line="520" w:lineRule="exact"/>
        <w:ind w:firstLineChars="200" w:firstLine="640"/>
        <w:rPr>
          <w:rFonts w:ascii="仿宋_GB2312" w:eastAsia="仿宋_GB2312"/>
          <w:color w:val="000000" w:themeColor="text1"/>
          <w:sz w:val="32"/>
          <w:szCs w:val="32"/>
        </w:rPr>
      </w:pP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w:t>
      </w:r>
      <w:r>
        <w:rPr>
          <w:rFonts w:ascii="仿宋_GB2312" w:eastAsia="仿宋_GB2312" w:hint="eastAsia"/>
          <w:color w:val="000000" w:themeColor="text1"/>
          <w:sz w:val="32"/>
          <w:szCs w:val="32"/>
        </w:rPr>
        <w:lastRenderedPageBreak/>
        <w:t>保护角度，在拟选址处建设可行。经审查，我局原则同意《报告表》评价结论。该项目应当按照《报告表》所述性质、规模、地点、生产工艺和环境保护措施进行建设。</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（一）宠物洗浴废水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洗衣废水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生活污水</w:t>
      </w:r>
      <w:r>
        <w:rPr>
          <w:rFonts w:ascii="仿宋_GB2312" w:eastAsia="仿宋_GB2312" w:hint="eastAsia"/>
          <w:color w:val="000000" w:themeColor="text1"/>
          <w:sz w:val="32"/>
          <w:szCs w:val="32"/>
        </w:rPr>
        <w:t>及</w:t>
      </w:r>
      <w:r>
        <w:rPr>
          <w:rFonts w:ascii="仿宋_GB2312" w:eastAsia="仿宋_GB2312" w:hint="eastAsia"/>
          <w:color w:val="000000" w:themeColor="text1"/>
          <w:sz w:val="32"/>
          <w:szCs w:val="32"/>
        </w:rPr>
        <w:t>清洗废水排放执行广东省《水污染物排放限值》（</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）第二时段三级标准。医疗废水排放执行《医疗机构水污染物排放标准》（</w:t>
      </w:r>
      <w:r>
        <w:rPr>
          <w:rFonts w:ascii="仿宋_GB2312" w:eastAsia="仿宋_GB2312" w:hint="eastAsia"/>
          <w:color w:val="000000" w:themeColor="text1"/>
          <w:sz w:val="32"/>
          <w:szCs w:val="32"/>
        </w:rPr>
        <w:t>GB18466-2005</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综合医疗机构和其他医疗机构水污染物排放限值（日均值）预处理标准。综合废水排放量不超过</w:t>
      </w:r>
      <w:r>
        <w:rPr>
          <w:rFonts w:ascii="仿宋_GB2312" w:eastAsia="仿宋_GB2312" w:hint="eastAsia"/>
          <w:color w:val="000000" w:themeColor="text1"/>
          <w:sz w:val="32"/>
          <w:szCs w:val="32"/>
        </w:rPr>
        <w:t>558</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年，医疗废水排放量不超过</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非甲烷总烃排放执行广东省《固定污染源挥发性有机物综合排放标准》（</w:t>
      </w:r>
      <w:r>
        <w:rPr>
          <w:rFonts w:ascii="仿宋_GB2312" w:eastAsia="仿宋_GB2312" w:hint="eastAsia"/>
          <w:color w:val="000000" w:themeColor="text1"/>
          <w:sz w:val="32"/>
          <w:szCs w:val="32"/>
        </w:rPr>
        <w:t>DB44/2367</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厂区内</w:t>
      </w:r>
      <w:r>
        <w:rPr>
          <w:rFonts w:ascii="仿宋_GB2312" w:eastAsia="仿宋_GB2312" w:hint="eastAsia"/>
          <w:color w:val="000000" w:themeColor="text1"/>
          <w:sz w:val="32"/>
          <w:szCs w:val="32"/>
        </w:rPr>
        <w:t>VOCs</w:t>
      </w:r>
      <w:r>
        <w:rPr>
          <w:rFonts w:ascii="仿宋_GB2312" w:eastAsia="仿宋_GB2312" w:hint="eastAsia"/>
          <w:color w:val="000000" w:themeColor="text1"/>
          <w:sz w:val="32"/>
          <w:szCs w:val="32"/>
        </w:rPr>
        <w:t>无组织排放限值；其他大气污染物排放执行《医疗机构水污染物排放标准》（</w:t>
      </w:r>
      <w:r>
        <w:rPr>
          <w:rFonts w:ascii="仿宋_GB2312" w:eastAsia="仿宋_GB2312" w:hint="eastAsia"/>
          <w:color w:val="000000" w:themeColor="text1"/>
          <w:sz w:val="32"/>
          <w:szCs w:val="32"/>
        </w:rPr>
        <w:t>GB18466-2005</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与</w:t>
      </w:r>
      <w:r>
        <w:rPr>
          <w:rFonts w:ascii="仿宋_GB2312" w:eastAsia="仿宋_GB2312" w:hint="eastAsia"/>
          <w:color w:val="000000" w:themeColor="text1"/>
          <w:sz w:val="32"/>
          <w:szCs w:val="32"/>
        </w:rPr>
        <w:t>《恶臭污染物排放标准》（</w:t>
      </w:r>
      <w:r>
        <w:rPr>
          <w:rFonts w:ascii="仿宋_GB2312" w:eastAsia="仿宋_GB2312" w:hint="eastAsia"/>
          <w:color w:val="000000" w:themeColor="text1"/>
          <w:sz w:val="32"/>
          <w:szCs w:val="32"/>
        </w:rPr>
        <w:t>GB14554-93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的较严值</w:t>
      </w:r>
      <w:r>
        <w:rPr>
          <w:rFonts w:ascii="仿宋_GB2312" w:eastAsia="仿宋_GB2312"/>
          <w:color w:val="000000" w:themeColor="text1"/>
          <w:sz w:val="32"/>
          <w:szCs w:val="32"/>
        </w:rPr>
        <w:t>。</w:t>
      </w:r>
    </w:p>
    <w:p w:rsidR="007E68FB" w:rsidRDefault="004054CE">
      <w:pPr>
        <w:spacing w:line="520" w:lineRule="exact"/>
        <w:ind w:firstLineChars="200" w:firstLine="640"/>
        <w:rPr>
          <w:rFonts w:ascii="仿宋_GB2312" w:eastAsia="仿宋_GB2312"/>
          <w:color w:val="000000" w:themeColor="text1"/>
          <w:sz w:val="32"/>
          <w:szCs w:val="32"/>
          <w:highlight w:val="yellow"/>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三</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距</w:t>
      </w:r>
      <w:r>
        <w:rPr>
          <w:rFonts w:ascii="仿宋_GB2312" w:eastAsia="仿宋_GB2312" w:hint="eastAsia"/>
          <w:color w:val="000000" w:themeColor="text1"/>
          <w:sz w:val="32"/>
          <w:szCs w:val="32"/>
        </w:rPr>
        <w:t>离</w:t>
      </w:r>
      <w:r>
        <w:rPr>
          <w:rFonts w:ascii="仿宋_GB2312" w:eastAsia="仿宋_GB2312" w:hint="eastAsia"/>
          <w:color w:val="000000" w:themeColor="text1"/>
          <w:sz w:val="32"/>
          <w:szCs w:val="32"/>
        </w:rPr>
        <w:t>市</w:t>
      </w:r>
      <w:proofErr w:type="gramEnd"/>
      <w:r>
        <w:rPr>
          <w:rFonts w:ascii="仿宋_GB2312" w:eastAsia="仿宋_GB2312" w:hint="eastAsia"/>
          <w:color w:val="000000" w:themeColor="text1"/>
          <w:sz w:val="32"/>
          <w:szCs w:val="32"/>
        </w:rPr>
        <w:t>广路</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米以内的边界噪声排放执行《社会生活环境噪声排放标准》（</w:t>
      </w:r>
      <w:r>
        <w:rPr>
          <w:rFonts w:ascii="仿宋_GB2312" w:eastAsia="仿宋_GB2312" w:hint="eastAsia"/>
          <w:color w:val="000000" w:themeColor="text1"/>
          <w:sz w:val="32"/>
          <w:szCs w:val="32"/>
        </w:rPr>
        <w:t>GB22337-2008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0dB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其他边界噪声排放执行</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（一）排水系统采用雨污分流。宠物洗浴废水</w:t>
      </w:r>
      <w:r>
        <w:rPr>
          <w:rFonts w:ascii="仿宋_GB2312" w:eastAsia="仿宋_GB2312" w:hint="eastAsia"/>
          <w:color w:val="000000" w:themeColor="text1"/>
          <w:sz w:val="32"/>
          <w:szCs w:val="32"/>
        </w:rPr>
        <w:t>和洗衣废水</w:t>
      </w:r>
      <w:r>
        <w:rPr>
          <w:rFonts w:ascii="仿宋_GB2312" w:eastAsia="仿宋_GB2312" w:hint="eastAsia"/>
          <w:color w:val="000000" w:themeColor="text1"/>
          <w:sz w:val="32"/>
          <w:szCs w:val="32"/>
        </w:rPr>
        <w:t>经格栅预处理后与宠物笼及排泄盒清洗废水、生活污水排入市政集污管网，医疗废水经医疗废水消毒处理设施处理后排入市政集污管网，送</w:t>
      </w:r>
      <w:r>
        <w:rPr>
          <w:rFonts w:ascii="仿宋_GB2312" w:eastAsia="仿宋_GB2312" w:hint="eastAsia"/>
          <w:color w:val="000000" w:themeColor="text1"/>
          <w:sz w:val="32"/>
          <w:szCs w:val="32"/>
        </w:rPr>
        <w:t>中部</w:t>
      </w:r>
      <w:r>
        <w:rPr>
          <w:rFonts w:ascii="仿宋_GB2312" w:eastAsia="仿宋_GB2312" w:hint="eastAsia"/>
          <w:color w:val="000000" w:themeColor="text1"/>
          <w:sz w:val="32"/>
          <w:szCs w:val="32"/>
        </w:rPr>
        <w:t>净水厂集中处理。项目设置综合废水排放口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个、医疗废水排放口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7E68FB" w:rsidRDefault="004054CE">
      <w:pPr>
        <w:spacing w:line="520" w:lineRule="exact"/>
        <w:ind w:firstLineChars="200" w:firstLine="640"/>
        <w:rPr>
          <w:rFonts w:ascii="仿宋_GB2312" w:eastAsia="仿宋_GB2312"/>
          <w:color w:val="000000" w:themeColor="text1"/>
          <w:sz w:val="32"/>
          <w:szCs w:val="32"/>
          <w:highlight w:val="yellow"/>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。住院部、寄养部、病房、</w:t>
      </w:r>
      <w:r>
        <w:rPr>
          <w:rFonts w:ascii="仿宋_GB2312" w:eastAsia="仿宋_GB2312" w:hint="eastAsia"/>
          <w:color w:val="000000" w:themeColor="text1"/>
          <w:sz w:val="32"/>
          <w:szCs w:val="32"/>
        </w:rPr>
        <w:t>手术室</w:t>
      </w:r>
      <w:r>
        <w:rPr>
          <w:rFonts w:ascii="仿宋_GB2312" w:eastAsia="仿宋_GB2312" w:hint="eastAsia"/>
          <w:color w:val="000000" w:themeColor="text1"/>
          <w:sz w:val="32"/>
          <w:szCs w:val="32"/>
        </w:rPr>
        <w:t>设置紫外灯消毒，经营过程产生的废气收集至活性炭吸附装置处理后</w:t>
      </w:r>
      <w:r>
        <w:rPr>
          <w:rFonts w:ascii="仿宋_GB2312" w:eastAsia="仿宋_GB2312" w:hint="eastAsia"/>
          <w:color w:val="000000" w:themeColor="text1"/>
          <w:sz w:val="32"/>
          <w:szCs w:val="32"/>
        </w:rPr>
        <w:t>无组织</w:t>
      </w:r>
      <w:r>
        <w:rPr>
          <w:rFonts w:ascii="仿宋_GB2312" w:eastAsia="仿宋_GB2312" w:hint="eastAsia"/>
          <w:color w:val="000000" w:themeColor="text1"/>
          <w:sz w:val="32"/>
          <w:szCs w:val="32"/>
        </w:rPr>
        <w:t>排放。项目不设置废气排放口。</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项目</w:t>
      </w:r>
      <w:r>
        <w:rPr>
          <w:rFonts w:ascii="仿宋_GB2312" w:eastAsia="仿宋_GB2312" w:hint="eastAsia"/>
          <w:color w:val="000000" w:themeColor="text1"/>
          <w:sz w:val="32"/>
          <w:szCs w:val="32"/>
        </w:rPr>
        <w:t>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Ansi="仿宋_GB2312" w:cs="仿宋_GB2312" w:hint="eastAsia"/>
          <w:color w:val="000000" w:themeColor="text1"/>
          <w:sz w:val="32"/>
          <w:szCs w:val="32"/>
        </w:rPr>
        <w:t>项目</w:t>
      </w:r>
      <w:r>
        <w:rPr>
          <w:rFonts w:ascii="仿宋_GB2312" w:eastAsia="仿宋_GB2312" w:hint="eastAsia"/>
          <w:color w:val="000000" w:themeColor="text1"/>
          <w:sz w:val="32"/>
          <w:szCs w:val="32"/>
        </w:rPr>
        <w:t>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w:t>
      </w:r>
      <w:r>
        <w:rPr>
          <w:rFonts w:ascii="仿宋_GB2312" w:eastAsia="仿宋_GB2312" w:hint="eastAsia"/>
          <w:color w:val="000000" w:themeColor="text1"/>
          <w:sz w:val="32"/>
          <w:szCs w:val="32"/>
        </w:rPr>
        <w:t>布局</w:t>
      </w:r>
      <w:r>
        <w:rPr>
          <w:rFonts w:ascii="仿宋_GB2312" w:eastAsia="仿宋_GB2312" w:hint="eastAsia"/>
          <w:color w:val="000000" w:themeColor="text1"/>
          <w:sz w:val="32"/>
          <w:szCs w:val="32"/>
        </w:rPr>
        <w:t>，对噪声</w:t>
      </w:r>
      <w:proofErr w:type="gramStart"/>
      <w:r>
        <w:rPr>
          <w:rFonts w:ascii="仿宋_GB2312" w:eastAsia="仿宋_GB2312" w:hint="eastAsia"/>
          <w:color w:val="000000" w:themeColor="text1"/>
          <w:sz w:val="32"/>
          <w:szCs w:val="32"/>
        </w:rPr>
        <w:t>源采取</w:t>
      </w:r>
      <w:proofErr w:type="gramEnd"/>
      <w:r>
        <w:rPr>
          <w:rFonts w:ascii="仿宋_GB2312" w:eastAsia="仿宋_GB2312" w:hint="eastAsia"/>
          <w:color w:val="000000" w:themeColor="text1"/>
          <w:sz w:val="32"/>
          <w:szCs w:val="32"/>
        </w:rPr>
        <w:t>隔声、减振等措施，定期检修设备。</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（四）废活性炭、废紫外线灯管</w:t>
      </w:r>
      <w:r>
        <w:rPr>
          <w:rFonts w:ascii="仿宋_GB2312" w:eastAsia="仿宋_GB2312" w:hint="eastAsia"/>
          <w:color w:val="000000" w:themeColor="text1"/>
          <w:sz w:val="32"/>
          <w:szCs w:val="32"/>
        </w:rPr>
        <w:t>、沾染危险化学品的包装废弃物</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proofErr w:type="gramStart"/>
      <w:r>
        <w:rPr>
          <w:rFonts w:ascii="仿宋_GB2312" w:eastAsia="仿宋_GB2312" w:hint="eastAsia"/>
          <w:color w:val="000000" w:themeColor="text1"/>
          <w:sz w:val="32"/>
          <w:szCs w:val="32"/>
        </w:rPr>
        <w:t>须设置</w:t>
      </w:r>
      <w:proofErr w:type="gramEnd"/>
      <w:r>
        <w:rPr>
          <w:rFonts w:ascii="仿宋_GB2312" w:eastAsia="仿宋_GB2312" w:hint="eastAsia"/>
          <w:color w:val="000000" w:themeColor="text1"/>
          <w:sz w:val="32"/>
          <w:szCs w:val="32"/>
        </w:rPr>
        <w:t>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）要求的专用贮存场所存放并委托具备危险废物处理资质的机构处理。医疗废物须按照《医疗废物管理条例》等相关法规、标准的要求收集、贮存、运送、委外处置</w:t>
      </w:r>
      <w:r>
        <w:rPr>
          <w:rFonts w:ascii="仿宋_GB2312" w:eastAsia="仿宋_GB2312" w:hint="eastAsia"/>
          <w:color w:val="000000" w:themeColor="text1"/>
          <w:sz w:val="32"/>
          <w:szCs w:val="32"/>
        </w:rPr>
        <w:t>。</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五、自《报告表》批准之日起超过五年，方决定该项目开工建设的，《报告表》应当在开工建设前报我局重新审核。未经我局重新审核同意的，不得擅自开工建设。</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rsidR="007E68FB" w:rsidRDefault="004054CE">
      <w:pPr>
        <w:widowControl/>
        <w:tabs>
          <w:tab w:val="left" w:pos="1418"/>
        </w:tabs>
        <w:spacing w:line="52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（一）项目竣工后，你单位应按规定申请取得排污许可证或填报排污登记表，并按照规定的标准、程序和时限，对配套建</w:t>
      </w:r>
      <w:r>
        <w:rPr>
          <w:rFonts w:ascii="仿宋_GB2312" w:eastAsia="仿宋_GB2312" w:hint="eastAsia"/>
          <w:color w:val="000000" w:themeColor="text1"/>
          <w:sz w:val="32"/>
          <w:szCs w:val="32"/>
        </w:rPr>
        <w:t>设的环境保护设施进行验收，编制验收报告，依法向社会公开。</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w:t>
      </w:r>
      <w:r>
        <w:rPr>
          <w:rFonts w:ascii="仿宋_GB2312" w:eastAsia="仿宋_GB2312" w:hint="eastAsia"/>
          <w:color w:val="000000" w:themeColor="text1"/>
          <w:sz w:val="32"/>
          <w:szCs w:val="32"/>
        </w:rPr>
        <w:lastRenderedPageBreak/>
        <w:t>入生产或者使用。</w:t>
      </w:r>
    </w:p>
    <w:p w:rsidR="007E68FB" w:rsidRDefault="004054CE">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rsidR="007E68FB" w:rsidRDefault="004054CE">
      <w:pPr>
        <w:pStyle w:val="New"/>
        <w:spacing w:line="520" w:lineRule="exact"/>
        <w:ind w:firstLine="636"/>
        <w:rPr>
          <w:rFonts w:eastAsia="仿宋_GB2312"/>
          <w:color w:val="000000" w:themeColor="text1"/>
          <w:sz w:val="32"/>
          <w:szCs w:val="32"/>
        </w:rPr>
      </w:pPr>
      <w:r>
        <w:rPr>
          <w:rFonts w:ascii="仿宋_GB2312" w:eastAsia="仿宋_GB2312" w:hint="eastAsia"/>
          <w:color w:val="000000" w:themeColor="text1"/>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w:t>
      </w:r>
      <w:r>
        <w:rPr>
          <w:rFonts w:ascii="仿宋_GB2312" w:eastAsia="仿宋_GB2312" w:hAnsi="仿宋" w:hint="eastAsia"/>
          <w:color w:val="000000" w:themeColor="text1"/>
          <w:sz w:val="32"/>
        </w:rPr>
        <w:t>输法院提起行政诉讼。申请行政复议或提起行政诉讼的，不停止本决定的执行。</w:t>
      </w:r>
    </w:p>
    <w:p w:rsidR="007E68FB" w:rsidRDefault="007E68FB">
      <w:pPr>
        <w:pStyle w:val="New"/>
        <w:spacing w:line="520" w:lineRule="exact"/>
        <w:rPr>
          <w:rFonts w:ascii="仿宋_GB2312" w:eastAsia="仿宋_GB2312" w:hAnsi="仿宋"/>
          <w:color w:val="000000" w:themeColor="text1"/>
          <w:sz w:val="32"/>
        </w:rPr>
      </w:pPr>
    </w:p>
    <w:p w:rsidR="007E68FB" w:rsidRDefault="007E68FB">
      <w:pPr>
        <w:spacing w:line="520" w:lineRule="exact"/>
        <w:rPr>
          <w:rFonts w:ascii="仿宋_GB2312" w:eastAsia="仿宋_GB2312"/>
          <w:color w:val="000000" w:themeColor="text1"/>
          <w:sz w:val="32"/>
          <w:szCs w:val="32"/>
        </w:rPr>
      </w:pPr>
    </w:p>
    <w:p w:rsidR="007E68FB" w:rsidRDefault="004054CE">
      <w:pPr>
        <w:spacing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7E68FB" w:rsidRDefault="004054CE">
      <w:pPr>
        <w:spacing w:line="52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日</w:t>
      </w:r>
    </w:p>
    <w:p w:rsidR="007E68FB" w:rsidRDefault="007E68FB">
      <w:pPr>
        <w:spacing w:line="520" w:lineRule="exact"/>
        <w:ind w:right="4" w:firstLineChars="1600" w:firstLine="5120"/>
        <w:rPr>
          <w:rFonts w:ascii="仿宋_GB2312" w:eastAsia="仿宋_GB2312"/>
          <w:color w:val="000000" w:themeColor="text1"/>
          <w:sz w:val="32"/>
          <w:szCs w:val="32"/>
        </w:rPr>
      </w:pPr>
    </w:p>
    <w:p w:rsidR="007E68FB" w:rsidRDefault="007E68FB">
      <w:pPr>
        <w:spacing w:line="520" w:lineRule="exact"/>
        <w:ind w:right="4" w:firstLineChars="1600" w:firstLine="5120"/>
        <w:rPr>
          <w:rFonts w:ascii="仿宋_GB2312" w:eastAsia="仿宋_GB2312"/>
          <w:color w:val="000000" w:themeColor="text1"/>
          <w:sz w:val="32"/>
          <w:szCs w:val="32"/>
        </w:rPr>
      </w:pPr>
    </w:p>
    <w:p w:rsidR="007E68FB" w:rsidRDefault="007E68FB">
      <w:pPr>
        <w:spacing w:line="520" w:lineRule="exact"/>
        <w:ind w:right="4" w:firstLineChars="1600" w:firstLine="5120"/>
        <w:rPr>
          <w:rFonts w:ascii="仿宋_GB2312" w:eastAsia="仿宋_GB2312"/>
          <w:color w:val="000000" w:themeColor="text1"/>
          <w:sz w:val="32"/>
          <w:szCs w:val="32"/>
        </w:rPr>
      </w:pPr>
    </w:p>
    <w:p w:rsidR="007E68FB" w:rsidRDefault="007E68FB">
      <w:pPr>
        <w:spacing w:line="520" w:lineRule="exact"/>
        <w:ind w:right="4"/>
        <w:rPr>
          <w:rFonts w:ascii="仿宋_GB2312" w:eastAsia="仿宋_GB2312"/>
          <w:color w:val="000000" w:themeColor="text1"/>
          <w:sz w:val="32"/>
          <w:szCs w:val="32"/>
        </w:rPr>
      </w:pPr>
    </w:p>
    <w:p w:rsidR="007E68FB" w:rsidRDefault="004054CE">
      <w:pPr>
        <w:spacing w:line="52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7E68FB" w:rsidRDefault="007E68FB">
      <w:pPr>
        <w:spacing w:line="520" w:lineRule="exact"/>
        <w:rPr>
          <w:rFonts w:ascii="仿宋_GB2312" w:eastAsia="仿宋_GB2312"/>
          <w:color w:val="000000" w:themeColor="text1"/>
          <w:sz w:val="32"/>
          <w:szCs w:val="32"/>
        </w:rPr>
      </w:pPr>
    </w:p>
    <w:p w:rsidR="007E68FB" w:rsidRDefault="004054CE">
      <w:pPr>
        <w:spacing w:line="52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w:t>
      </w:r>
      <w:r>
        <w:rPr>
          <w:rFonts w:ascii="仿宋_GB2312" w:eastAsia="仿宋_GB2312" w:hint="eastAsia"/>
          <w:color w:val="000000" w:themeColor="text1"/>
          <w:sz w:val="28"/>
          <w:szCs w:val="28"/>
        </w:rPr>
        <w:t>执法</w:t>
      </w:r>
      <w:proofErr w:type="gramStart"/>
      <w:r>
        <w:rPr>
          <w:rFonts w:ascii="仿宋_GB2312" w:eastAsia="仿宋_GB2312" w:hint="eastAsia"/>
          <w:color w:val="000000" w:themeColor="text1"/>
          <w:sz w:val="28"/>
          <w:szCs w:val="28"/>
        </w:rPr>
        <w:t>一</w:t>
      </w:r>
      <w:proofErr w:type="gramEnd"/>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一</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广东中惠环保科技有限公司</w:t>
      </w:r>
      <w:r>
        <w:rPr>
          <w:rFonts w:ascii="仿宋_GB2312" w:eastAsia="仿宋_GB2312" w:hint="eastAsia"/>
          <w:color w:val="000000" w:themeColor="text1"/>
          <w:sz w:val="28"/>
          <w:szCs w:val="28"/>
        </w:rPr>
        <w:t>。</w:t>
      </w:r>
    </w:p>
    <w:p w:rsidR="007E68FB" w:rsidRDefault="007E68FB">
      <w:pPr>
        <w:spacing w:line="560" w:lineRule="exact"/>
        <w:ind w:leftChars="201" w:left="1133" w:hangingChars="254" w:hanging="711"/>
        <w:rPr>
          <w:rFonts w:ascii="仿宋_GB2312" w:eastAsia="仿宋_GB2312"/>
          <w:sz w:val="28"/>
          <w:szCs w:val="28"/>
        </w:rPr>
      </w:pPr>
    </w:p>
    <w:sectPr w:rsidR="007E68FB">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CE" w:rsidRDefault="004054CE">
      <w:r>
        <w:separator/>
      </w:r>
    </w:p>
  </w:endnote>
  <w:endnote w:type="continuationSeparator" w:id="0">
    <w:p w:rsidR="004054CE" w:rsidRDefault="0040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FB" w:rsidRDefault="004054CE">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7E68FB" w:rsidRDefault="007E68FB">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FB" w:rsidRDefault="004054CE">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750D39">
      <w:rPr>
        <w:rStyle w:val="ad"/>
        <w:rFonts w:ascii="宋体" w:hAnsi="宋体"/>
        <w:noProof/>
        <w:sz w:val="28"/>
        <w:szCs w:val="28"/>
      </w:rPr>
      <w:t>4</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7E68FB" w:rsidRDefault="007E68FB">
    <w:pPr>
      <w:pStyle w:val="a7"/>
      <w:ind w:right="360" w:firstLine="360"/>
      <w:jc w:val="center"/>
      <w:rPr>
        <w:rFonts w:ascii="Times New Roman" w:hAnsi="Times New Roman"/>
        <w:sz w:val="28"/>
        <w:szCs w:val="28"/>
      </w:rPr>
    </w:pPr>
  </w:p>
  <w:p w:rsidR="007E68FB" w:rsidRDefault="007E68F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FB" w:rsidRDefault="004054CE">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6EDCA93D"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CE" w:rsidRDefault="004054CE">
      <w:r>
        <w:separator/>
      </w:r>
    </w:p>
  </w:footnote>
  <w:footnote w:type="continuationSeparator" w:id="0">
    <w:p w:rsidR="004054CE" w:rsidRDefault="0040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054CE"/>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39"/>
    <w:rsid w:val="00750DBF"/>
    <w:rsid w:val="00753DD4"/>
    <w:rsid w:val="00753DDF"/>
    <w:rsid w:val="0077498B"/>
    <w:rsid w:val="007847A3"/>
    <w:rsid w:val="00786866"/>
    <w:rsid w:val="007B29D0"/>
    <w:rsid w:val="007B438D"/>
    <w:rsid w:val="007B5088"/>
    <w:rsid w:val="007C55F7"/>
    <w:rsid w:val="007C5CB3"/>
    <w:rsid w:val="007E68FB"/>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E2CAD"/>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E0726A0"/>
    <w:rsid w:val="2F393C7B"/>
    <w:rsid w:val="2FA779EC"/>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2339B7"/>
  <w15:docId w15:val="{D3D3836D-5185-4AD7-B813-C2876444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3</TotalTime>
  <Pages>4</Pages>
  <Words>346</Words>
  <Characters>1974</Characters>
  <Application>Microsoft Office Word</Application>
  <DocSecurity>0</DocSecurity>
  <Lines>16</Lines>
  <Paragraphs>4</Paragraphs>
  <ScaleCrop>false</ScaleCrop>
  <Company>Bureau of Environment Protection</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6</cp:revision>
  <cp:lastPrinted>2024-07-11T06:52:00Z</cp:lastPrinted>
  <dcterms:created xsi:type="dcterms:W3CDTF">2019-11-22T08:14:00Z</dcterms:created>
  <dcterms:modified xsi:type="dcterms:W3CDTF">2025-06-16T10:05:00Z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