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8E692E">
      <w:pPr>
        <w:adjustRightInd w:val="0"/>
        <w:snapToGrid w:val="0"/>
        <w:ind w:right="-156" w:hanging="180"/>
        <w:jc w:val="center"/>
        <w:rPr>
          <w:rFonts w:hint="eastAsia" w:ascii="公文小标宋简" w:eastAsia="公文小标宋简"/>
          <w:b/>
          <w:bCs/>
          <w:smallCaps/>
          <w:snapToGrid w:val="0"/>
          <w:color w:val="FF0000"/>
          <w:spacing w:val="56"/>
          <w:kern w:val="0"/>
          <w:sz w:val="72"/>
          <w:szCs w:val="72"/>
        </w:rPr>
      </w:pPr>
    </w:p>
    <w:p w14:paraId="4AB45B3C">
      <w:pPr>
        <w:wordWrap w:val="0"/>
        <w:adjustRightInd w:val="0"/>
        <w:snapToGrid w:val="0"/>
        <w:spacing w:line="600" w:lineRule="exact"/>
        <w:ind w:firstLine="420" w:firstLineChars="200"/>
        <w:rPr>
          <w:rFonts w:ascii="仿宋_GB2312"/>
        </w:rPr>
      </w:pPr>
      <w:r>
        <w:rPr>
          <w:rFonts w:hint="eastAsia" w:ascii="仿宋_GB2312"/>
        </w:rPr>
        <w:t xml:space="preserve">                                       </w:t>
      </w:r>
      <w:r>
        <w:rPr>
          <w:rFonts w:hint="eastAsia" w:ascii="仿宋_GB2312" w:eastAsia="仿宋_GB2312"/>
          <w:sz w:val="32"/>
          <w:szCs w:val="32"/>
        </w:rPr>
        <w:t>穗环管影（番）〔2025〕</w:t>
      </w:r>
      <w:r>
        <w:rPr>
          <w:rFonts w:hint="eastAsia" w:ascii="仿宋_GB2312" w:eastAsia="仿宋_GB2312"/>
          <w:sz w:val="32"/>
          <w:szCs w:val="32"/>
          <w:lang w:val="en-US" w:eastAsia="zh-CN"/>
        </w:rPr>
        <w:t>68</w:t>
      </w:r>
      <w:r>
        <w:rPr>
          <w:rFonts w:hint="eastAsia" w:ascii="仿宋_GB2312" w:eastAsia="仿宋_GB2312"/>
          <w:sz w:val="32"/>
          <w:szCs w:val="32"/>
        </w:rPr>
        <w:t>号</w:t>
      </w:r>
    </w:p>
    <w:p w14:paraId="1C4997FA">
      <w:pPr>
        <w:rPr>
          <w:rFonts w:ascii="黑体" w:eastAsia="黑体"/>
        </w:rPr>
      </w:pPr>
    </w:p>
    <w:p w14:paraId="52BA7C9D">
      <w:pPr>
        <w:adjustRightInd w:val="0"/>
        <w:snapToGrid w:val="0"/>
        <w:spacing w:line="600" w:lineRule="exact"/>
        <w:rPr>
          <w:rFonts w:ascii="仿宋_GB2312"/>
        </w:rPr>
      </w:pPr>
    </w:p>
    <w:p w14:paraId="5D6EBA4D">
      <w:pPr>
        <w:spacing w:line="560" w:lineRule="exact"/>
        <w:jc w:val="center"/>
        <w:rPr>
          <w:rFonts w:hint="eastAsia" w:ascii="方正小标宋简体" w:hAnsi="方正小标宋简体" w:eastAsia="方正小标宋简体" w:cs="方正小标宋简体"/>
          <w:color w:val="000000" w:themeColor="text1"/>
          <w:sz w:val="44"/>
          <w:szCs w:val="44"/>
          <w:lang w:bidi="ar"/>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bidi="ar"/>
          <w14:textFill>
            <w14:solidFill>
              <w14:schemeClr w14:val="tx1"/>
            </w14:solidFill>
          </w14:textFill>
        </w:rPr>
        <w:t>广州市生态环境局关于广州诺拜因化工</w:t>
      </w:r>
    </w:p>
    <w:p w14:paraId="530761FA">
      <w:pPr>
        <w:spacing w:line="560" w:lineRule="exact"/>
        <w:jc w:val="center"/>
        <w:rPr>
          <w:rFonts w:hint="eastAsia" w:ascii="方正小标宋简体" w:hAnsi="方正小标宋简体" w:eastAsia="方正小标宋简体" w:cs="方正小标宋简体"/>
          <w:color w:val="000000" w:themeColor="text1"/>
          <w:sz w:val="44"/>
          <w:szCs w:val="44"/>
          <w:lang w:bidi="ar"/>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bidi="ar"/>
          <w14:textFill>
            <w14:solidFill>
              <w14:schemeClr w14:val="tx1"/>
            </w14:solidFill>
          </w14:textFill>
        </w:rPr>
        <w:t>有限公司年产2000吨润滑油、1000吨</w:t>
      </w:r>
    </w:p>
    <w:p w14:paraId="72EB8EBC">
      <w:pPr>
        <w:spacing w:line="560" w:lineRule="exact"/>
        <w:jc w:val="center"/>
        <w:rPr>
          <w:rFonts w:hint="eastAsia" w:ascii="方正小标宋简体" w:hAnsi="方正小标宋简体" w:eastAsia="方正小标宋简体" w:cs="方正小标宋简体"/>
          <w:color w:val="000000" w:themeColor="text1"/>
          <w:sz w:val="44"/>
          <w:szCs w:val="44"/>
          <w:lang w:bidi="ar"/>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bidi="ar"/>
          <w14:textFill>
            <w14:solidFill>
              <w14:schemeClr w14:val="tx1"/>
            </w14:solidFill>
          </w14:textFill>
        </w:rPr>
        <w:t>润滑脂、500吨清洗剂建设项目</w:t>
      </w:r>
    </w:p>
    <w:p w14:paraId="67E410AD">
      <w:pPr>
        <w:spacing w:line="56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bidi="ar"/>
          <w14:textFill>
            <w14:solidFill>
              <w14:schemeClr w14:val="tx1"/>
            </w14:solidFill>
          </w14:textFill>
        </w:rPr>
        <w:t>环境影响报告表的批复</w:t>
      </w:r>
    </w:p>
    <w:p w14:paraId="47B7889E">
      <w:pPr>
        <w:rPr>
          <w:rFonts w:ascii="方正小标宋_GBK" w:eastAsia="方正小标宋_GBK"/>
          <w:sz w:val="44"/>
          <w:szCs w:val="44"/>
        </w:rPr>
      </w:pPr>
    </w:p>
    <w:p w14:paraId="615F88AA">
      <w:pPr>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广州诺拜因化工有限公司（</w:t>
      </w:r>
      <w:r>
        <w:rPr>
          <w:rFonts w:ascii="仿宋_GB2312" w:eastAsia="仿宋_GB2312"/>
          <w:color w:val="000000" w:themeColor="text1"/>
          <w:sz w:val="32"/>
          <w:szCs w:val="32"/>
          <w14:textFill>
            <w14:solidFill>
              <w14:schemeClr w14:val="tx1"/>
            </w14:solidFill>
          </w14:textFill>
        </w:rPr>
        <w:t>91440101685211344U</w:t>
      </w:r>
      <w:r>
        <w:rPr>
          <w:rFonts w:hint="eastAsia" w:ascii="仿宋_GB2312" w:eastAsia="仿宋_GB2312"/>
          <w:color w:val="000000" w:themeColor="text1"/>
          <w:sz w:val="32"/>
          <w:szCs w:val="32"/>
          <w14:textFill>
            <w14:solidFill>
              <w14:schemeClr w14:val="tx1"/>
            </w14:solidFill>
          </w14:textFill>
        </w:rPr>
        <w:t>）：</w:t>
      </w:r>
    </w:p>
    <w:p w14:paraId="5F19786B">
      <w:pPr>
        <w:ind w:firstLine="640" w:firstLineChars="200"/>
        <w:rPr>
          <w:rFonts w:ascii="仿宋_GB2312" w:eastAsia="仿宋_GB2312"/>
          <w:sz w:val="32"/>
          <w:szCs w:val="32"/>
        </w:rPr>
      </w:pPr>
      <w:r>
        <w:rPr>
          <w:rFonts w:hint="eastAsia" w:ascii="仿宋_GB2312" w:eastAsia="仿宋_GB2312"/>
          <w:sz w:val="32"/>
          <w:szCs w:val="32"/>
        </w:rPr>
        <w:t>你单位报送的《</w:t>
      </w:r>
      <w:r>
        <w:rPr>
          <w:rFonts w:hint="eastAsia" w:ascii="仿宋_GB2312" w:eastAsia="仿宋_GB2312"/>
          <w:color w:val="000000" w:themeColor="text1"/>
          <w:sz w:val="32"/>
          <w:szCs w:val="32"/>
          <w14:textFill>
            <w14:solidFill>
              <w14:schemeClr w14:val="tx1"/>
            </w14:solidFill>
          </w14:textFill>
        </w:rPr>
        <w:t>广州诺拜因化工有限公司年产2000吨润滑油、1000吨润滑脂、500吨清洗剂建设项目</w:t>
      </w:r>
      <w:r>
        <w:rPr>
          <w:rFonts w:hint="eastAsia" w:ascii="仿宋_GB2312" w:eastAsia="仿宋_GB2312"/>
          <w:sz w:val="32"/>
          <w:szCs w:val="32"/>
        </w:rPr>
        <w:t>环境影响报告表》（以下简称《报告表》）及附送资料收悉。经研究，现批复如下：</w:t>
      </w:r>
    </w:p>
    <w:p w14:paraId="368D658E">
      <w:pPr>
        <w:ind w:firstLine="640" w:firstLineChars="200"/>
        <w:rPr>
          <w:rFonts w:ascii="仿宋_GB2312" w:eastAsia="仿宋_GB2312"/>
          <w:sz w:val="32"/>
          <w:szCs w:val="32"/>
        </w:rPr>
      </w:pPr>
      <w:r>
        <w:rPr>
          <w:rFonts w:hint="eastAsia" w:ascii="仿宋_GB2312" w:eastAsia="仿宋_GB2312"/>
          <w:sz w:val="32"/>
          <w:szCs w:val="32"/>
        </w:rPr>
        <w:t>一、</w:t>
      </w:r>
      <w:r>
        <w:rPr>
          <w:rFonts w:hint="eastAsia" w:ascii="仿宋_GB2312" w:eastAsia="仿宋_GB2312"/>
          <w:color w:val="000000" w:themeColor="text1"/>
          <w:sz w:val="32"/>
          <w:szCs w:val="32"/>
          <w14:textFill>
            <w14:solidFill>
              <w14:schemeClr w14:val="tx1"/>
            </w14:solidFill>
          </w14:textFill>
        </w:rPr>
        <w:t>广州诺拜因化工有限公司年产2000吨润滑油、1000吨润滑脂、500吨清洗剂建设项目</w:t>
      </w:r>
      <w:r>
        <w:rPr>
          <w:rFonts w:hint="eastAsia" w:ascii="仿宋_GB2312" w:eastAsia="仿宋_GB2312"/>
          <w:sz w:val="32"/>
          <w:szCs w:val="32"/>
        </w:rPr>
        <w:t>（以下简称“该项目”）位于广州市番禺区化龙镇龙顺二路9号2栋11楼、12楼，申报内容为从事润滑油、润滑脂、清洗剂的生产，年产润滑油2000吨、润滑脂1000吨、清洗剂500吨。该项目建筑面积</w:t>
      </w:r>
      <w:r>
        <w:rPr>
          <w:rFonts w:ascii="仿宋_GB2312" w:eastAsia="仿宋_GB2312"/>
          <w:sz w:val="32"/>
          <w:szCs w:val="32"/>
        </w:rPr>
        <w:t>2941.5</w:t>
      </w:r>
      <w:r>
        <w:rPr>
          <w:rFonts w:hint="eastAsia" w:ascii="仿宋_GB2312" w:eastAsia="仿宋_GB2312"/>
          <w:sz w:val="32"/>
          <w:szCs w:val="32"/>
        </w:rPr>
        <w:t>平方米，租用1栋12层厂房的第11、12层；主要设备有</w:t>
      </w:r>
      <w:r>
        <w:rPr>
          <w:rFonts w:hint="eastAsia" w:ascii="仿宋_GB2312" w:eastAsia="仿宋_GB2312"/>
          <w:color w:val="000000" w:themeColor="text1"/>
          <w:sz w:val="32"/>
          <w:szCs w:val="32"/>
          <w14:textFill>
            <w14:solidFill>
              <w14:schemeClr w14:val="tx1"/>
            </w14:solidFill>
          </w14:textFill>
        </w:rPr>
        <w:t>搅拌釜18台、搅拌分散机1台、三辊研磨机2台、</w:t>
      </w:r>
      <w:r>
        <w:rPr>
          <w:rFonts w:hint="eastAsia" w:ascii="仿宋_GB2312" w:eastAsia="仿宋_GB2312"/>
          <w:color w:val="000000" w:themeColor="text1"/>
          <w:sz w:val="32"/>
          <w:szCs w:val="32"/>
          <w:lang w:val="en-US" w:eastAsia="zh-CN"/>
          <w14:textFill>
            <w14:solidFill>
              <w14:schemeClr w14:val="tx1"/>
            </w14:solidFill>
          </w14:textFill>
        </w:rPr>
        <w:t>分装机2台、</w:t>
      </w:r>
      <w:r>
        <w:rPr>
          <w:rFonts w:hint="eastAsia" w:ascii="仿宋_GB2312" w:eastAsia="仿宋_GB2312"/>
          <w:color w:val="000000" w:themeColor="text1"/>
          <w:sz w:val="32"/>
          <w:szCs w:val="32"/>
          <w14:textFill>
            <w14:solidFill>
              <w14:schemeClr w14:val="tx1"/>
            </w14:solidFill>
          </w14:textFill>
        </w:rPr>
        <w:t>喷码机1台以及检测设备一批等</w:t>
      </w:r>
      <w:r>
        <w:rPr>
          <w:rFonts w:hint="eastAsia" w:ascii="仿宋_GB2312" w:eastAsia="仿宋_GB2312"/>
          <w:sz w:val="32"/>
          <w:szCs w:val="32"/>
        </w:rPr>
        <w:t>；员工</w:t>
      </w:r>
      <w:r>
        <w:rPr>
          <w:rFonts w:ascii="仿宋_GB2312" w:eastAsia="仿宋_GB2312"/>
          <w:sz w:val="32"/>
          <w:szCs w:val="32"/>
        </w:rPr>
        <w:t>50</w:t>
      </w:r>
      <w:r>
        <w:rPr>
          <w:rFonts w:hint="eastAsia" w:ascii="仿宋_GB2312" w:eastAsia="仿宋_GB2312"/>
          <w:sz w:val="32"/>
          <w:szCs w:val="32"/>
        </w:rPr>
        <w:t>名，</w:t>
      </w:r>
      <w:r>
        <w:rPr>
          <w:rFonts w:hint="eastAsia" w:ascii="仿宋_GB2312" w:eastAsia="仿宋_GB2312"/>
          <w:color w:val="000000" w:themeColor="text1"/>
          <w:sz w:val="32"/>
          <w:szCs w:val="32"/>
          <w14:textFill>
            <w14:solidFill>
              <w14:schemeClr w14:val="tx1"/>
            </w14:solidFill>
          </w14:textFill>
        </w:rPr>
        <w:t>内部不安排食宿</w:t>
      </w:r>
      <w:r>
        <w:rPr>
          <w:rFonts w:hint="eastAsia" w:ascii="仿宋_GB2312" w:eastAsia="仿宋_GB2312"/>
          <w:sz w:val="32"/>
          <w:szCs w:val="32"/>
        </w:rPr>
        <w:t>。</w:t>
      </w:r>
    </w:p>
    <w:p w14:paraId="7FCFD659">
      <w:pPr>
        <w:ind w:firstLine="640" w:firstLineChars="200"/>
        <w:rPr>
          <w:rFonts w:ascii="仿宋_GB2312" w:eastAsia="仿宋_GB2312"/>
          <w:sz w:val="32"/>
          <w:szCs w:val="32"/>
        </w:rPr>
      </w:pPr>
      <w:r>
        <w:rPr>
          <w:rFonts w:hint="eastAsia" w:ascii="仿宋_GB2312" w:eastAsia="仿宋_GB2312"/>
          <w:sz w:val="32"/>
          <w:szCs w:val="32"/>
        </w:rPr>
        <w:t>按照《报告表》的评价结论，在落实各项环境保护措施后，该项目产生的污染物及不良环境影响能够得到有效控制，从环境保护角度，在</w:t>
      </w:r>
      <w:r>
        <w:rPr>
          <w:rFonts w:hint="eastAsia" w:ascii="仿宋_GB2312" w:eastAsia="仿宋_GB2312"/>
          <w:color w:val="000000" w:themeColor="text1"/>
          <w:sz w:val="32"/>
          <w:szCs w:val="32"/>
          <w14:textFill>
            <w14:solidFill>
              <w14:schemeClr w14:val="tx1"/>
            </w14:solidFill>
          </w14:textFill>
        </w:rPr>
        <w:t>拟</w:t>
      </w:r>
      <w:r>
        <w:rPr>
          <w:rFonts w:hint="eastAsia" w:ascii="仿宋_GB2312" w:eastAsia="仿宋_GB2312"/>
          <w:sz w:val="32"/>
          <w:szCs w:val="32"/>
        </w:rPr>
        <w:t>选址处建设可行。经审查，我局原则同意《报告表》评价结论。该项目应当按照《报告表》所述性质、规模、地点、</w:t>
      </w:r>
      <w:r>
        <w:rPr>
          <w:rFonts w:hint="eastAsia" w:ascii="仿宋_GB2312" w:eastAsia="仿宋_GB2312"/>
          <w:color w:val="000000" w:themeColor="text1"/>
          <w:sz w:val="32"/>
          <w:szCs w:val="32"/>
          <w14:textFill>
            <w14:solidFill>
              <w14:schemeClr w14:val="tx1"/>
            </w14:solidFill>
          </w14:textFill>
        </w:rPr>
        <w:t>生产工艺</w:t>
      </w:r>
      <w:r>
        <w:rPr>
          <w:rFonts w:hint="eastAsia" w:ascii="仿宋_GB2312" w:eastAsia="仿宋_GB2312"/>
          <w:sz w:val="32"/>
          <w:szCs w:val="32"/>
        </w:rPr>
        <w:t>和环境保护措施进行建设。</w:t>
      </w:r>
    </w:p>
    <w:p w14:paraId="288563CA">
      <w:pPr>
        <w:ind w:firstLine="640" w:firstLineChars="200"/>
        <w:rPr>
          <w:rFonts w:ascii="仿宋_GB2312" w:eastAsia="仿宋_GB2312"/>
          <w:sz w:val="32"/>
          <w:szCs w:val="32"/>
        </w:rPr>
      </w:pPr>
      <w:r>
        <w:rPr>
          <w:rFonts w:hint="eastAsia" w:ascii="仿宋_GB2312" w:eastAsia="仿宋_GB2312"/>
          <w:sz w:val="32"/>
          <w:szCs w:val="32"/>
        </w:rPr>
        <w:t>二、该项目各类污染物排放控制要求如下：</w:t>
      </w:r>
    </w:p>
    <w:p w14:paraId="3F2DA876">
      <w:pPr>
        <w:ind w:firstLine="640" w:firstLineChars="200"/>
        <w:rPr>
          <w:rFonts w:ascii="仿宋_GB2312" w:eastAsia="仿宋_GB2312"/>
          <w:sz w:val="32"/>
          <w:szCs w:val="32"/>
        </w:rPr>
      </w:pPr>
      <w:r>
        <w:rPr>
          <w:rFonts w:hint="eastAsia" w:ascii="仿宋_GB2312" w:eastAsia="仿宋_GB2312"/>
          <w:sz w:val="32"/>
          <w:szCs w:val="32"/>
        </w:rPr>
        <w:t>（一）水污染物排放执行广东省《水污染物排放限值》（DB44/26-2001）第二时段三级标准。生活污水排放量不超过400吨/年，生产废水排放量不超过45吨/年。</w:t>
      </w:r>
    </w:p>
    <w:p w14:paraId="650754FA">
      <w:pPr>
        <w:ind w:firstLine="640" w:firstLineChars="200"/>
        <w:rPr>
          <w:rFonts w:ascii="仿宋_GB2312" w:eastAsia="仿宋_GB2312"/>
          <w:sz w:val="32"/>
          <w:szCs w:val="32"/>
        </w:rPr>
      </w:pPr>
      <w:r>
        <w:rPr>
          <w:rFonts w:hint="eastAsia" w:ascii="仿宋_GB2312" w:eastAsia="仿宋_GB2312"/>
          <w:sz w:val="32"/>
          <w:szCs w:val="32"/>
        </w:rPr>
        <w:t>（二）总VOCs排放执行广东省《印刷行业挥发性有机化合物排放标准》（DB44/815-2010）表3无组织排放监控点浓度限值；臭气浓度排放执行《恶臭污染物排放标准》（GB14554-93）表1厂界新扩改建二级标准限值；厂区内非甲烷总烃排放执行广东省《固定污染源挥发性有机物综合排放标准》（DB44/2367-2022）表3厂区内VOCs无组织排放限值。</w:t>
      </w:r>
    </w:p>
    <w:p w14:paraId="3FCCC933">
      <w:pPr>
        <w:ind w:firstLine="640" w:firstLineChars="200"/>
        <w:rPr>
          <w:rFonts w:ascii="仿宋_GB2312" w:eastAsia="仿宋_GB2312"/>
          <w:sz w:val="32"/>
          <w:szCs w:val="32"/>
        </w:rPr>
      </w:pPr>
      <w:r>
        <w:rPr>
          <w:rFonts w:hint="eastAsia" w:ascii="仿宋_GB2312" w:eastAsia="仿宋_GB2312"/>
          <w:sz w:val="32"/>
          <w:szCs w:val="32"/>
        </w:rPr>
        <w:t>（三）</w:t>
      </w:r>
      <w:r>
        <w:rPr>
          <w:rFonts w:hint="eastAsia" w:ascii="仿宋_GB2312" w:eastAsia="仿宋_GB2312"/>
          <w:color w:val="000000" w:themeColor="text1"/>
          <w:sz w:val="32"/>
          <w:szCs w:val="32"/>
          <w14:textFill>
            <w14:solidFill>
              <w14:schemeClr w14:val="tx1"/>
            </w14:solidFill>
          </w14:textFill>
        </w:rPr>
        <w:t>边界噪</w:t>
      </w:r>
      <w:r>
        <w:rPr>
          <w:rFonts w:hint="eastAsia" w:ascii="仿宋_GB2312" w:eastAsia="仿宋_GB2312"/>
          <w:sz w:val="32"/>
          <w:szCs w:val="32"/>
        </w:rPr>
        <w:t>声排放执行《工业企业厂界环境噪声排放标准》（GB12348-2008）</w:t>
      </w:r>
      <w:r>
        <w:rPr>
          <w:rFonts w:hint="eastAsia" w:ascii="仿宋_GB2312" w:eastAsia="仿宋_GB2312"/>
          <w:color w:val="000000" w:themeColor="text1"/>
          <w:sz w:val="32"/>
          <w:szCs w:val="32"/>
          <w14:textFill>
            <w14:solidFill>
              <w14:schemeClr w14:val="tx1"/>
            </w14:solidFill>
          </w14:textFill>
        </w:rPr>
        <w:t>3类区限值，即：昼间≤65dB(A)，夜间≤55dB(A)。</w:t>
      </w:r>
    </w:p>
    <w:p w14:paraId="302D41DE">
      <w:pPr>
        <w:ind w:firstLine="640" w:firstLineChars="200"/>
        <w:rPr>
          <w:rFonts w:ascii="仿宋_GB2312" w:eastAsia="仿宋_GB2312"/>
          <w:sz w:val="32"/>
          <w:szCs w:val="32"/>
        </w:rPr>
      </w:pPr>
      <w:r>
        <w:rPr>
          <w:rFonts w:hint="eastAsia" w:ascii="仿宋_GB2312" w:eastAsia="仿宋_GB2312"/>
          <w:sz w:val="32"/>
          <w:szCs w:val="32"/>
        </w:rPr>
        <w:t>三、该项目应当认真落实《报告表》提出的各项环境保护措施，重点做好以下工作：</w:t>
      </w:r>
    </w:p>
    <w:p w14:paraId="7A461C5C">
      <w:pPr>
        <w:ind w:firstLine="640" w:firstLineChars="200"/>
        <w:rPr>
          <w:rFonts w:ascii="仿宋_GB2312" w:eastAsia="仿宋_GB2312"/>
          <w:sz w:val="32"/>
          <w:szCs w:val="32"/>
        </w:rPr>
      </w:pPr>
      <w:r>
        <w:rPr>
          <w:rFonts w:hint="eastAsia" w:ascii="仿宋_GB2312" w:eastAsia="仿宋_GB2312"/>
          <w:sz w:val="32"/>
          <w:szCs w:val="32"/>
        </w:rPr>
        <w:t>（一）项目排水系统采用雨污分流。生活污水和地面拖洗废水排入市政集污管网，送化龙净水厂集中处理。</w:t>
      </w:r>
      <w:r>
        <w:rPr>
          <w:rFonts w:hint="eastAsia" w:ascii="仿宋_GB2312" w:eastAsia="仿宋_GB2312"/>
          <w:color w:val="000000" w:themeColor="text1"/>
          <w:sz w:val="32"/>
          <w:szCs w:val="32"/>
          <w14:textFill>
            <w14:solidFill>
              <w14:schemeClr w14:val="tx1"/>
            </w14:solidFill>
          </w14:textFill>
        </w:rPr>
        <w:t>项目设置废水总排放口1个。</w:t>
      </w:r>
    </w:p>
    <w:p w14:paraId="3C150A48">
      <w:pPr>
        <w:ind w:firstLine="640" w:firstLineChars="200"/>
        <w:rPr>
          <w:rFonts w:ascii="仿宋_GB2312" w:eastAsia="仿宋_GB2312"/>
          <w:sz w:val="32"/>
          <w:szCs w:val="32"/>
        </w:rPr>
      </w:pPr>
      <w:r>
        <w:rPr>
          <w:rFonts w:hint="eastAsia" w:ascii="仿宋_GB2312" w:eastAsia="仿宋_GB2312"/>
          <w:sz w:val="32"/>
          <w:szCs w:val="32"/>
        </w:rPr>
        <w:t>（二）</w:t>
      </w:r>
      <w:r>
        <w:rPr>
          <w:rFonts w:hint="eastAsia" w:ascii="仿宋_GB2312" w:eastAsia="仿宋_GB2312"/>
          <w:color w:val="000000" w:themeColor="text1"/>
          <w:sz w:val="32"/>
          <w:szCs w:val="32"/>
          <w14:textFill>
            <w14:solidFill>
              <w14:schemeClr w14:val="tx1"/>
            </w14:solidFill>
          </w14:textFill>
        </w:rPr>
        <w:t>按照广东省《固定污染源挥发性有机物综合排放标准》（DB44/2367-2022）的无组织排放控制要求落实相关措施</w:t>
      </w:r>
      <w:r>
        <w:rPr>
          <w:rFonts w:hint="eastAsia" w:ascii="仿宋_GB2312" w:eastAsia="仿宋_GB2312"/>
          <w:sz w:val="32"/>
          <w:szCs w:val="32"/>
        </w:rPr>
        <w:t>。</w:t>
      </w:r>
    </w:p>
    <w:p w14:paraId="38FE501A">
      <w:pPr>
        <w:ind w:firstLine="640" w:firstLineChars="200"/>
        <w:rPr>
          <w:rFonts w:ascii="仿宋_GB2312" w:eastAsia="仿宋_GB2312"/>
          <w:sz w:val="32"/>
          <w:szCs w:val="32"/>
        </w:rPr>
      </w:pPr>
      <w:r>
        <w:rPr>
          <w:rFonts w:hint="eastAsia" w:ascii="仿宋_GB2312" w:hAnsi="仿宋_GB2312" w:eastAsia="仿宋_GB2312" w:cs="仿宋_GB2312"/>
          <w:sz w:val="32"/>
          <w:szCs w:val="32"/>
        </w:rPr>
        <w:t>加强车间边界无组织排放废气的监控，确保车间边界无组织排放监控点的废气达到相应标准限值的要求，监测超标时应加强对无组织排放废气的收集和净化处理。</w:t>
      </w:r>
    </w:p>
    <w:p w14:paraId="1BB959D3">
      <w:pPr>
        <w:ind w:firstLine="640" w:firstLineChars="200"/>
        <w:rPr>
          <w:rFonts w:ascii="仿宋_GB2312" w:eastAsia="仿宋_GB2312"/>
          <w:sz w:val="32"/>
          <w:szCs w:val="32"/>
        </w:rPr>
      </w:pPr>
      <w:r>
        <w:rPr>
          <w:rFonts w:hint="eastAsia" w:ascii="仿宋_GB2312" w:eastAsia="仿宋_GB2312"/>
          <w:sz w:val="32"/>
          <w:szCs w:val="32"/>
        </w:rPr>
        <w:t>（三）选用低噪声设备，合理布设生产车间，高噪声源应采取隔声、减振等措施，定期检修设备。</w:t>
      </w:r>
    </w:p>
    <w:p w14:paraId="658EE533">
      <w:pPr>
        <w:ind w:firstLine="640" w:firstLineChars="200"/>
        <w:rPr>
          <w:rFonts w:ascii="仿宋_GB2312" w:eastAsia="仿宋_GB2312"/>
          <w:sz w:val="32"/>
          <w:szCs w:val="32"/>
        </w:rPr>
      </w:pPr>
      <w:r>
        <w:rPr>
          <w:rFonts w:hint="eastAsia" w:ascii="仿宋_GB2312" w:eastAsia="仿宋_GB2312"/>
          <w:sz w:val="32"/>
          <w:szCs w:val="32"/>
        </w:rPr>
        <w:t>（四）检测废料、废抹布及手套、废机油、废一次性检测耗材等属于危险废物的须设置符合《危险废物贮存污染控制标准》（GB18597-2023）要求的专用贮存场所存放并委托具备危险废物处理资质的机构处理。</w:t>
      </w:r>
    </w:p>
    <w:p w14:paraId="5C915D7B">
      <w:pPr>
        <w:ind w:firstLine="640" w:firstLineChars="200"/>
        <w:rPr>
          <w:rFonts w:ascii="仿宋_GB2312" w:eastAsia="仿宋_GB2312"/>
          <w:sz w:val="32"/>
          <w:szCs w:val="32"/>
        </w:rPr>
      </w:pPr>
      <w:r>
        <w:rPr>
          <w:rFonts w:hint="eastAsia" w:ascii="仿宋_GB2312" w:eastAsia="仿宋_GB2312"/>
          <w:sz w:val="32"/>
          <w:szCs w:val="32"/>
        </w:rPr>
        <w:t>四、该项目的性质、规模、地点、采用的</w:t>
      </w:r>
      <w:r>
        <w:rPr>
          <w:rFonts w:hint="eastAsia" w:ascii="仿宋_GB2312" w:eastAsia="仿宋_GB2312"/>
          <w:color w:val="000000" w:themeColor="text1"/>
          <w:sz w:val="32"/>
          <w:szCs w:val="32"/>
          <w14:textFill>
            <w14:solidFill>
              <w14:schemeClr w14:val="tx1"/>
            </w14:solidFill>
          </w14:textFill>
        </w:rPr>
        <w:t>生产工艺</w:t>
      </w:r>
      <w:r>
        <w:rPr>
          <w:rFonts w:hint="eastAsia" w:ascii="仿宋_GB2312" w:eastAsia="仿宋_GB2312"/>
          <w:sz w:val="32"/>
          <w:szCs w:val="32"/>
        </w:rPr>
        <w:t>或者防治污染、防止生态破坏的措施发生重大变动的，你单位应当重新报批环境影响评价文件。</w:t>
      </w:r>
    </w:p>
    <w:p w14:paraId="433EAC14">
      <w:pPr>
        <w:ind w:firstLine="640" w:firstLineChars="200"/>
        <w:rPr>
          <w:rFonts w:ascii="仿宋_GB2312" w:eastAsia="仿宋_GB2312"/>
          <w:sz w:val="32"/>
          <w:szCs w:val="32"/>
        </w:rPr>
      </w:pPr>
      <w:r>
        <w:rPr>
          <w:rFonts w:hint="eastAsia" w:ascii="仿宋_GB2312" w:eastAsia="仿宋_GB2312"/>
          <w:sz w:val="32"/>
          <w:szCs w:val="32"/>
        </w:rPr>
        <w:t>五、自《报告表》批准之日起超过五年，方决定该项目开工建设的，《报告表》应当在开工建设前报我局重新审核。未经我局重新审核同意的，不得擅自开工建设。</w:t>
      </w:r>
    </w:p>
    <w:p w14:paraId="45F1D8E4">
      <w:pPr>
        <w:ind w:firstLine="640" w:firstLineChars="200"/>
        <w:rPr>
          <w:rFonts w:ascii="仿宋_GB2312" w:eastAsia="仿宋_GB2312"/>
          <w:sz w:val="32"/>
          <w:szCs w:val="32"/>
        </w:rPr>
      </w:pPr>
      <w:r>
        <w:rPr>
          <w:rFonts w:hint="eastAsia" w:ascii="仿宋_GB2312" w:eastAsia="仿宋_GB2312"/>
          <w:sz w:val="32"/>
          <w:szCs w:val="32"/>
        </w:rPr>
        <w:t>六、该项目建设应严格执行配套建设的环境保护设施与主体工程同时设计、同时施工、同时投产使用的环境保护“三同时”制度，具体要求如下：</w:t>
      </w:r>
    </w:p>
    <w:p w14:paraId="056BDC81">
      <w:pPr>
        <w:widowControl/>
        <w:tabs>
          <w:tab w:val="left" w:pos="1418"/>
        </w:tabs>
        <w:rPr>
          <w:rFonts w:ascii="仿宋_GB2312" w:eastAsia="仿宋_GB2312"/>
          <w:sz w:val="32"/>
          <w:szCs w:val="32"/>
        </w:rPr>
      </w:pPr>
      <w:r>
        <w:rPr>
          <w:rFonts w:hint="eastAsia" w:ascii="仿宋_GB2312" w:eastAsia="仿宋_GB2312"/>
          <w:sz w:val="32"/>
          <w:szCs w:val="32"/>
        </w:rPr>
        <w:t xml:space="preserve">    （一）项目竣工后，你单位应按规定申请取得排污许可证或填报排污登记表，并按照规定的标准、程序和时限，对配套建设的环境保护设施进行验收，编制验收报告，依法向社会公开。</w:t>
      </w:r>
    </w:p>
    <w:p w14:paraId="6BBF9125">
      <w:pPr>
        <w:ind w:firstLine="640" w:firstLineChars="200"/>
        <w:rPr>
          <w:rFonts w:ascii="仿宋_GB2312" w:eastAsia="仿宋_GB2312"/>
          <w:sz w:val="32"/>
          <w:szCs w:val="32"/>
        </w:rPr>
      </w:pPr>
      <w:r>
        <w:rPr>
          <w:rFonts w:hint="eastAsia" w:ascii="仿宋_GB2312" w:eastAsia="仿宋_GB2312"/>
          <w:sz w:val="32"/>
          <w:szCs w:val="32"/>
        </w:rPr>
        <w:t>（二）项目配套建设的环境保护设施经验收合格后，方可投入生产或者使用。</w:t>
      </w:r>
    </w:p>
    <w:p w14:paraId="692D2E8B">
      <w:pPr>
        <w:ind w:firstLine="640" w:firstLineChars="200"/>
        <w:rPr>
          <w:rFonts w:ascii="仿宋_GB2312" w:eastAsia="仿宋_GB2312"/>
          <w:sz w:val="32"/>
          <w:szCs w:val="32"/>
        </w:rPr>
      </w:pPr>
      <w:r>
        <w:rPr>
          <w:rFonts w:hint="eastAsia" w:ascii="仿宋_GB2312" w:eastAsia="仿宋_GB2312"/>
          <w:sz w:val="32"/>
          <w:szCs w:val="32"/>
        </w:rPr>
        <w:t>七、该项目建设和运行过程中如涉及规划、土地利用、建设、水务、消防、安全等问题，应遵照相关法律法规要求到相应的行政主管部门办理有关手续。</w:t>
      </w:r>
    </w:p>
    <w:p w14:paraId="29A0B5ED">
      <w:pPr>
        <w:ind w:firstLine="640" w:firstLineChars="200"/>
        <w:rPr>
          <w:rFonts w:ascii="仿宋_GB2312" w:eastAsia="仿宋_GB2312"/>
          <w:sz w:val="32"/>
          <w:szCs w:val="32"/>
        </w:rPr>
      </w:pPr>
      <w:r>
        <w:rPr>
          <w:rFonts w:hint="eastAsia" w:ascii="仿宋_GB2312" w:eastAsia="仿宋_GB2312"/>
          <w:sz w:val="32"/>
          <w:szCs w:val="32"/>
        </w:rPr>
        <w:t>八、</w:t>
      </w:r>
      <w:r>
        <w:rPr>
          <w:rFonts w:hint="eastAsia" w:ascii="仿宋_GB2312" w:hAnsi="仿宋" w:eastAsia="仿宋_GB2312"/>
          <w:color w:val="000000" w:themeColor="text1"/>
          <w:sz w:val="32"/>
          <w14:textFill>
            <w14:solidFill>
              <w14:schemeClr w14:val="tx1"/>
            </w14:solidFill>
          </w14:textFill>
        </w:rPr>
        <w:t>当事人如不服本决定，可在收到文书之日起60日内向广州市人民政府行政复议机构广州市政府行政复议办公室窗口（地址：广州市越秀区小北路183号金和大厦2楼，电话：020-83555988）提出行政复议申请；或者在收到文书之日起6个月内直接向广州铁路运输法院提起行政诉讼。申请行政复议或提起行政诉讼的，不停止本决定的执行</w:t>
      </w:r>
      <w:r>
        <w:rPr>
          <w:rFonts w:hint="eastAsia" w:ascii="仿宋_GB2312" w:eastAsia="仿宋_GB2312"/>
          <w:color w:val="000000" w:themeColor="text1"/>
          <w:sz w:val="32"/>
          <w:szCs w:val="32"/>
          <w14:textFill>
            <w14:solidFill>
              <w14:schemeClr w14:val="tx1"/>
            </w14:solidFill>
          </w14:textFill>
        </w:rPr>
        <w:t>。</w:t>
      </w:r>
    </w:p>
    <w:p w14:paraId="7B2EFA73">
      <w:pPr>
        <w:ind w:firstLine="640" w:firstLineChars="200"/>
        <w:rPr>
          <w:rFonts w:ascii="仿宋_GB2312" w:eastAsia="仿宋_GB2312"/>
          <w:color w:val="FF0000"/>
          <w:sz w:val="32"/>
          <w:szCs w:val="32"/>
        </w:rPr>
      </w:pPr>
    </w:p>
    <w:p w14:paraId="3F00290C">
      <w:pPr>
        <w:ind w:firstLine="4480" w:firstLineChars="1400"/>
        <w:rPr>
          <w:rFonts w:ascii="仿宋_GB2312" w:eastAsia="仿宋_GB2312"/>
          <w:sz w:val="32"/>
          <w:szCs w:val="32"/>
        </w:rPr>
      </w:pPr>
    </w:p>
    <w:p w14:paraId="71F7405A">
      <w:pPr>
        <w:ind w:firstLine="4480" w:firstLineChars="1400"/>
        <w:rPr>
          <w:rFonts w:ascii="仿宋_GB2312" w:eastAsia="仿宋_GB2312"/>
          <w:sz w:val="32"/>
          <w:szCs w:val="32"/>
        </w:rPr>
      </w:pPr>
    </w:p>
    <w:p w14:paraId="25673A8B">
      <w:pPr>
        <w:ind w:firstLine="4480" w:firstLineChars="1400"/>
        <w:rPr>
          <w:rFonts w:ascii="仿宋_GB2312" w:eastAsia="仿宋_GB2312"/>
          <w:sz w:val="32"/>
          <w:szCs w:val="32"/>
        </w:rPr>
      </w:pPr>
      <w:r>
        <w:rPr>
          <w:rFonts w:hint="eastAsia" w:ascii="仿宋_GB2312" w:eastAsia="仿宋_GB2312"/>
          <w:sz w:val="32"/>
          <w:szCs w:val="32"/>
        </w:rPr>
        <w:t xml:space="preserve">     广州市生态环境局</w:t>
      </w:r>
    </w:p>
    <w:p w14:paraId="42702A8B">
      <w:pPr>
        <w:tabs>
          <w:tab w:val="left" w:pos="7371"/>
          <w:tab w:val="left" w:pos="7655"/>
          <w:tab w:val="left" w:pos="7797"/>
        </w:tabs>
        <w:ind w:firstLine="4480" w:firstLineChars="1400"/>
        <w:rPr>
          <w:rFonts w:ascii="仿宋_GB2312" w:eastAsia="仿宋_GB2312"/>
          <w:sz w:val="32"/>
          <w:szCs w:val="32"/>
        </w:rPr>
      </w:pPr>
      <w:r>
        <w:rPr>
          <w:rFonts w:hint="eastAsia" w:ascii="仿宋_GB2312" w:eastAsia="仿宋_GB2312"/>
          <w:sz w:val="32"/>
          <w:szCs w:val="32"/>
        </w:rPr>
        <w:t xml:space="preserve">     2025年</w:t>
      </w:r>
      <w:r>
        <w:rPr>
          <w:rFonts w:hint="eastAsia" w:ascii="仿宋_GB2312" w:eastAsia="仿宋_GB2312"/>
          <w:sz w:val="32"/>
          <w:szCs w:val="32"/>
          <w:lang w:val="en-US" w:eastAsia="zh-CN"/>
        </w:rPr>
        <w:t>6</w:t>
      </w:r>
      <w:r>
        <w:rPr>
          <w:rFonts w:hint="eastAsia" w:ascii="仿宋_GB2312" w:eastAsia="仿宋_GB2312"/>
          <w:sz w:val="32"/>
          <w:szCs w:val="32"/>
        </w:rPr>
        <w:t>月</w:t>
      </w:r>
      <w:r>
        <w:rPr>
          <w:rFonts w:hint="eastAsia" w:ascii="仿宋_GB2312" w:eastAsia="仿宋_GB2312"/>
          <w:sz w:val="32"/>
          <w:szCs w:val="32"/>
          <w:lang w:val="en-US" w:eastAsia="zh-CN"/>
        </w:rPr>
        <w:t>10</w:t>
      </w:r>
      <w:bookmarkStart w:id="0" w:name="_GoBack"/>
      <w:bookmarkEnd w:id="0"/>
      <w:r>
        <w:rPr>
          <w:rFonts w:hint="eastAsia" w:ascii="仿宋_GB2312" w:eastAsia="仿宋_GB2312"/>
          <w:sz w:val="32"/>
          <w:szCs w:val="32"/>
        </w:rPr>
        <w:t>日</w:t>
      </w:r>
    </w:p>
    <w:p w14:paraId="222440BD">
      <w:pPr>
        <w:rPr>
          <w:rFonts w:hint="eastAsia" w:ascii="黑体" w:eastAsia="黑体"/>
          <w:sz w:val="32"/>
          <w:szCs w:val="32"/>
        </w:rPr>
      </w:pPr>
    </w:p>
    <w:p w14:paraId="5BF53765">
      <w:pPr>
        <w:rPr>
          <w:rFonts w:hint="eastAsia" w:ascii="黑体" w:eastAsia="黑体"/>
          <w:sz w:val="32"/>
          <w:szCs w:val="32"/>
        </w:rPr>
      </w:pPr>
    </w:p>
    <w:p w14:paraId="0B9A5E66">
      <w:pPr>
        <w:rPr>
          <w:rFonts w:hint="eastAsia" w:ascii="黑体" w:eastAsia="黑体"/>
          <w:sz w:val="32"/>
          <w:szCs w:val="32"/>
        </w:rPr>
      </w:pPr>
    </w:p>
    <w:p w14:paraId="4FCEACC5">
      <w:pPr>
        <w:rPr>
          <w:rFonts w:ascii="黑体" w:eastAsia="黑体"/>
          <w:sz w:val="32"/>
          <w:szCs w:val="32"/>
        </w:rPr>
      </w:pPr>
    </w:p>
    <w:p w14:paraId="452A29D5">
      <w:pPr>
        <w:rPr>
          <w:rFonts w:ascii="仿宋_GB2312" w:eastAsia="仿宋_GB2312"/>
          <w:sz w:val="32"/>
          <w:szCs w:val="32"/>
        </w:rPr>
      </w:pPr>
      <w:r>
        <w:rPr>
          <w:rFonts w:hint="eastAsia" w:ascii="黑体" w:eastAsia="黑体"/>
          <w:sz w:val="32"/>
          <w:szCs w:val="32"/>
        </w:rPr>
        <w:t>公开方式：</w:t>
      </w:r>
      <w:r>
        <w:rPr>
          <w:rFonts w:hint="eastAsia" w:ascii="仿宋_GB2312" w:eastAsia="仿宋_GB2312"/>
          <w:sz w:val="32"/>
          <w:szCs w:val="32"/>
        </w:rPr>
        <w:t>主动公开</w:t>
      </w:r>
    </w:p>
    <w:p w14:paraId="7B80801B">
      <w:pPr>
        <w:rPr>
          <w:rFonts w:ascii="仿宋_GB2312" w:eastAsia="仿宋_GB2312"/>
          <w:sz w:val="32"/>
          <w:szCs w:val="32"/>
        </w:rPr>
      </w:pPr>
    </w:p>
    <w:p w14:paraId="4123CACE">
      <w:pPr>
        <w:ind w:left="1133" w:leftChars="201" w:hanging="711" w:hangingChars="254"/>
        <w:rPr>
          <w:rFonts w:ascii="仿宋_GB2312" w:eastAsia="仿宋_GB2312"/>
          <w:sz w:val="28"/>
          <w:szCs w:val="28"/>
        </w:rPr>
      </w:pPr>
      <w:r>
        <w:rPr>
          <w:rFonts w:hint="eastAsia" w:ascii="仿宋_GB2312" w:eastAsia="仿宋_GB2312"/>
          <w:sz w:val="28"/>
          <w:szCs w:val="28"/>
        </w:rPr>
        <w:t>抄送：广州市生态环境局番禺分局执法三科、番禺第三环保所，广州蓝碧环境科学工程顾问有限公司。</w:t>
      </w:r>
    </w:p>
    <w:sectPr>
      <w:footerReference r:id="rId3" w:type="default"/>
      <w:footerReference r:id="rId4" w:type="even"/>
      <w:pgSz w:w="11906" w:h="16838"/>
      <w:pgMar w:top="1588" w:right="1474" w:bottom="1134" w:left="1588" w:header="851" w:footer="624" w:gutter="0"/>
      <w:cols w:space="720" w:num="1"/>
      <w:titlePg/>
      <w:docGrid w:type="lines" w:linePitch="613"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公文小标宋简">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90CA9">
    <w:pPr>
      <w:pStyle w:val="4"/>
      <w:framePr w:wrap="around" w:vAnchor="text" w:hAnchor="margin" w:xAlign="outside" w:y="1"/>
      <w:rPr>
        <w:rStyle w:val="9"/>
        <w:rFonts w:ascii="宋体" w:hAnsi="宋体"/>
        <w:sz w:val="28"/>
        <w:szCs w:val="2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4</w:t>
    </w:r>
    <w:r>
      <w:rPr>
        <w:rFonts w:ascii="宋体" w:hAnsi="宋体"/>
        <w:sz w:val="28"/>
        <w:szCs w:val="28"/>
      </w:rPr>
      <w:fldChar w:fldCharType="end"/>
    </w:r>
    <w:r>
      <w:rPr>
        <w:rStyle w:val="9"/>
        <w:rFonts w:hint="eastAsia" w:ascii="宋体" w:hAnsi="宋体"/>
        <w:sz w:val="28"/>
        <w:szCs w:val="28"/>
      </w:rPr>
      <w:t xml:space="preserve"> —</w:t>
    </w:r>
  </w:p>
  <w:p w14:paraId="70FC6814">
    <w:pPr>
      <w:pStyle w:val="4"/>
      <w:ind w:right="360" w:firstLine="360"/>
      <w:jc w:val="center"/>
      <w:rPr>
        <w:sz w:val="28"/>
        <w:szCs w:val="28"/>
      </w:rPr>
    </w:pPr>
  </w:p>
  <w:p w14:paraId="2B885708">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F1B43">
    <w:pPr>
      <w:pStyle w:val="4"/>
      <w:framePr w:wrap="around" w:vAnchor="text" w:hAnchor="margin" w:xAlign="outside" w:y="1"/>
      <w:rPr>
        <w:rStyle w:val="9"/>
      </w:rPr>
    </w:pPr>
    <w:r>
      <w:fldChar w:fldCharType="begin"/>
    </w:r>
    <w:r>
      <w:rPr>
        <w:rStyle w:val="9"/>
      </w:rPr>
      <w:instrText xml:space="preserve">PAGE  </w:instrText>
    </w:r>
    <w:r>
      <w:fldChar w:fldCharType="end"/>
    </w:r>
  </w:p>
  <w:p w14:paraId="196FFD9F">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nforcement="0"/>
  <w:defaultTabStop w:val="420"/>
  <w:drawingGridHorizontalSpacing w:val="158"/>
  <w:drawingGridVerticalSpacing w:val="61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825996"/>
    <w:rsid w:val="00001C85"/>
    <w:rsid w:val="00022225"/>
    <w:rsid w:val="00041AB4"/>
    <w:rsid w:val="00045D91"/>
    <w:rsid w:val="00047670"/>
    <w:rsid w:val="00047F69"/>
    <w:rsid w:val="000600A3"/>
    <w:rsid w:val="000732E6"/>
    <w:rsid w:val="00081938"/>
    <w:rsid w:val="00082A5C"/>
    <w:rsid w:val="000832FD"/>
    <w:rsid w:val="000852F9"/>
    <w:rsid w:val="00090CE7"/>
    <w:rsid w:val="00091F5C"/>
    <w:rsid w:val="00097289"/>
    <w:rsid w:val="000B070F"/>
    <w:rsid w:val="000B4C18"/>
    <w:rsid w:val="000C301C"/>
    <w:rsid w:val="000C3889"/>
    <w:rsid w:val="000C3CB8"/>
    <w:rsid w:val="000D56D5"/>
    <w:rsid w:val="000D6A43"/>
    <w:rsid w:val="001020A2"/>
    <w:rsid w:val="00104C9C"/>
    <w:rsid w:val="0012593F"/>
    <w:rsid w:val="00145974"/>
    <w:rsid w:val="00151CBA"/>
    <w:rsid w:val="00163612"/>
    <w:rsid w:val="00171D83"/>
    <w:rsid w:val="00173803"/>
    <w:rsid w:val="00185235"/>
    <w:rsid w:val="001C347F"/>
    <w:rsid w:val="001E17DB"/>
    <w:rsid w:val="001F12B9"/>
    <w:rsid w:val="001F1FC3"/>
    <w:rsid w:val="001F60AA"/>
    <w:rsid w:val="001F7ECF"/>
    <w:rsid w:val="0020594A"/>
    <w:rsid w:val="00207F01"/>
    <w:rsid w:val="00212861"/>
    <w:rsid w:val="00212DD9"/>
    <w:rsid w:val="00213A61"/>
    <w:rsid w:val="00214473"/>
    <w:rsid w:val="00225893"/>
    <w:rsid w:val="00250CD6"/>
    <w:rsid w:val="002513F3"/>
    <w:rsid w:val="00262CCD"/>
    <w:rsid w:val="0027017E"/>
    <w:rsid w:val="0027079B"/>
    <w:rsid w:val="00271C08"/>
    <w:rsid w:val="0027369D"/>
    <w:rsid w:val="00280957"/>
    <w:rsid w:val="00283EC7"/>
    <w:rsid w:val="002840F5"/>
    <w:rsid w:val="00290A95"/>
    <w:rsid w:val="002915FD"/>
    <w:rsid w:val="002A78A2"/>
    <w:rsid w:val="002B3756"/>
    <w:rsid w:val="002B437F"/>
    <w:rsid w:val="002C0C0E"/>
    <w:rsid w:val="002C13BB"/>
    <w:rsid w:val="002C5286"/>
    <w:rsid w:val="002C7F2D"/>
    <w:rsid w:val="002D01F1"/>
    <w:rsid w:val="002D444A"/>
    <w:rsid w:val="002D6E72"/>
    <w:rsid w:val="002F222A"/>
    <w:rsid w:val="003016C4"/>
    <w:rsid w:val="00304AD8"/>
    <w:rsid w:val="00323D70"/>
    <w:rsid w:val="003275AA"/>
    <w:rsid w:val="00334F3A"/>
    <w:rsid w:val="00347973"/>
    <w:rsid w:val="003551D8"/>
    <w:rsid w:val="003804CF"/>
    <w:rsid w:val="00396136"/>
    <w:rsid w:val="003A52FB"/>
    <w:rsid w:val="003D6927"/>
    <w:rsid w:val="003E6957"/>
    <w:rsid w:val="003F1D2D"/>
    <w:rsid w:val="0042675C"/>
    <w:rsid w:val="004366AD"/>
    <w:rsid w:val="00436934"/>
    <w:rsid w:val="00436E68"/>
    <w:rsid w:val="004422C8"/>
    <w:rsid w:val="00464587"/>
    <w:rsid w:val="00466E9D"/>
    <w:rsid w:val="0047490D"/>
    <w:rsid w:val="00481214"/>
    <w:rsid w:val="0048602A"/>
    <w:rsid w:val="004A1CB8"/>
    <w:rsid w:val="004A38CF"/>
    <w:rsid w:val="004A5E23"/>
    <w:rsid w:val="004A62BA"/>
    <w:rsid w:val="004C5EFD"/>
    <w:rsid w:val="004D0859"/>
    <w:rsid w:val="004D586D"/>
    <w:rsid w:val="004E13C9"/>
    <w:rsid w:val="004E567A"/>
    <w:rsid w:val="00511456"/>
    <w:rsid w:val="00521A96"/>
    <w:rsid w:val="00527C59"/>
    <w:rsid w:val="0053095F"/>
    <w:rsid w:val="0053590B"/>
    <w:rsid w:val="005374E2"/>
    <w:rsid w:val="005415FB"/>
    <w:rsid w:val="005429FF"/>
    <w:rsid w:val="00564EB8"/>
    <w:rsid w:val="00566920"/>
    <w:rsid w:val="0059052A"/>
    <w:rsid w:val="005A149B"/>
    <w:rsid w:val="005B12AD"/>
    <w:rsid w:val="005B6D04"/>
    <w:rsid w:val="005C24D6"/>
    <w:rsid w:val="005C69AB"/>
    <w:rsid w:val="005C6B0C"/>
    <w:rsid w:val="005D060E"/>
    <w:rsid w:val="005D092A"/>
    <w:rsid w:val="005D6126"/>
    <w:rsid w:val="005E3B4A"/>
    <w:rsid w:val="005E5891"/>
    <w:rsid w:val="005E7AE8"/>
    <w:rsid w:val="005F76D5"/>
    <w:rsid w:val="006054AA"/>
    <w:rsid w:val="0062245C"/>
    <w:rsid w:val="006351A7"/>
    <w:rsid w:val="00640DE7"/>
    <w:rsid w:val="00641192"/>
    <w:rsid w:val="00652804"/>
    <w:rsid w:val="006576FA"/>
    <w:rsid w:val="00675205"/>
    <w:rsid w:val="00677228"/>
    <w:rsid w:val="00693BD5"/>
    <w:rsid w:val="006A28F5"/>
    <w:rsid w:val="006A6881"/>
    <w:rsid w:val="006A6965"/>
    <w:rsid w:val="006B2BAD"/>
    <w:rsid w:val="006B4E20"/>
    <w:rsid w:val="006C3A36"/>
    <w:rsid w:val="006C45D4"/>
    <w:rsid w:val="006D0170"/>
    <w:rsid w:val="006D7C57"/>
    <w:rsid w:val="006E5889"/>
    <w:rsid w:val="006F135C"/>
    <w:rsid w:val="006F15BA"/>
    <w:rsid w:val="006F29B5"/>
    <w:rsid w:val="006F469A"/>
    <w:rsid w:val="00707832"/>
    <w:rsid w:val="007158E4"/>
    <w:rsid w:val="00716C4E"/>
    <w:rsid w:val="00720BC0"/>
    <w:rsid w:val="00723B6D"/>
    <w:rsid w:val="00730C65"/>
    <w:rsid w:val="007443DC"/>
    <w:rsid w:val="007467BF"/>
    <w:rsid w:val="00750DBF"/>
    <w:rsid w:val="00751130"/>
    <w:rsid w:val="00753DD4"/>
    <w:rsid w:val="00753DDF"/>
    <w:rsid w:val="007644CE"/>
    <w:rsid w:val="007759DA"/>
    <w:rsid w:val="007847A3"/>
    <w:rsid w:val="007855D9"/>
    <w:rsid w:val="00790E97"/>
    <w:rsid w:val="007B29D0"/>
    <w:rsid w:val="007B438D"/>
    <w:rsid w:val="007B5088"/>
    <w:rsid w:val="007C0E1A"/>
    <w:rsid w:val="007C5CB3"/>
    <w:rsid w:val="00802F15"/>
    <w:rsid w:val="008078D7"/>
    <w:rsid w:val="008133AB"/>
    <w:rsid w:val="008170AC"/>
    <w:rsid w:val="00823065"/>
    <w:rsid w:val="008372CA"/>
    <w:rsid w:val="0086236D"/>
    <w:rsid w:val="00882B8E"/>
    <w:rsid w:val="00884916"/>
    <w:rsid w:val="008865F4"/>
    <w:rsid w:val="0089687C"/>
    <w:rsid w:val="008B3BE3"/>
    <w:rsid w:val="008B3E8D"/>
    <w:rsid w:val="008C31B7"/>
    <w:rsid w:val="008D701C"/>
    <w:rsid w:val="008E07FB"/>
    <w:rsid w:val="008F3EEB"/>
    <w:rsid w:val="008F580D"/>
    <w:rsid w:val="00902B79"/>
    <w:rsid w:val="00902C55"/>
    <w:rsid w:val="00926C10"/>
    <w:rsid w:val="00932FC7"/>
    <w:rsid w:val="0093611D"/>
    <w:rsid w:val="009473C5"/>
    <w:rsid w:val="00950FC2"/>
    <w:rsid w:val="009544A8"/>
    <w:rsid w:val="00957476"/>
    <w:rsid w:val="00960326"/>
    <w:rsid w:val="0096566C"/>
    <w:rsid w:val="00972A29"/>
    <w:rsid w:val="00974609"/>
    <w:rsid w:val="00974E8C"/>
    <w:rsid w:val="00982E78"/>
    <w:rsid w:val="00993668"/>
    <w:rsid w:val="009A3DB2"/>
    <w:rsid w:val="009B68DC"/>
    <w:rsid w:val="009C5976"/>
    <w:rsid w:val="009C5EB5"/>
    <w:rsid w:val="009C790D"/>
    <w:rsid w:val="009D1F92"/>
    <w:rsid w:val="009D272F"/>
    <w:rsid w:val="009D34AC"/>
    <w:rsid w:val="009E0D72"/>
    <w:rsid w:val="009E1AD4"/>
    <w:rsid w:val="009E5416"/>
    <w:rsid w:val="00A116E8"/>
    <w:rsid w:val="00A36142"/>
    <w:rsid w:val="00A376C4"/>
    <w:rsid w:val="00A40AFA"/>
    <w:rsid w:val="00A40B19"/>
    <w:rsid w:val="00A56A9B"/>
    <w:rsid w:val="00AC047D"/>
    <w:rsid w:val="00AC648A"/>
    <w:rsid w:val="00AC7BAA"/>
    <w:rsid w:val="00AD33EF"/>
    <w:rsid w:val="00AD6B4C"/>
    <w:rsid w:val="00AE0762"/>
    <w:rsid w:val="00AE5E03"/>
    <w:rsid w:val="00AF7F2C"/>
    <w:rsid w:val="00B012B5"/>
    <w:rsid w:val="00B10676"/>
    <w:rsid w:val="00B15884"/>
    <w:rsid w:val="00B30042"/>
    <w:rsid w:val="00B303E7"/>
    <w:rsid w:val="00B31FB2"/>
    <w:rsid w:val="00B42B25"/>
    <w:rsid w:val="00B45736"/>
    <w:rsid w:val="00B5742B"/>
    <w:rsid w:val="00B61D35"/>
    <w:rsid w:val="00B62BB2"/>
    <w:rsid w:val="00B650E2"/>
    <w:rsid w:val="00B71F4F"/>
    <w:rsid w:val="00B805AF"/>
    <w:rsid w:val="00B837BD"/>
    <w:rsid w:val="00B83F72"/>
    <w:rsid w:val="00B95160"/>
    <w:rsid w:val="00B95EC7"/>
    <w:rsid w:val="00BB16F4"/>
    <w:rsid w:val="00BB1C8A"/>
    <w:rsid w:val="00BB73EF"/>
    <w:rsid w:val="00BC697F"/>
    <w:rsid w:val="00BF6FA5"/>
    <w:rsid w:val="00C013B9"/>
    <w:rsid w:val="00C046AB"/>
    <w:rsid w:val="00C07DD8"/>
    <w:rsid w:val="00C12A22"/>
    <w:rsid w:val="00C1575A"/>
    <w:rsid w:val="00C2000C"/>
    <w:rsid w:val="00C25D4D"/>
    <w:rsid w:val="00C331EC"/>
    <w:rsid w:val="00C35028"/>
    <w:rsid w:val="00C41EC5"/>
    <w:rsid w:val="00C45C92"/>
    <w:rsid w:val="00C47559"/>
    <w:rsid w:val="00C50129"/>
    <w:rsid w:val="00C50E3E"/>
    <w:rsid w:val="00C577CF"/>
    <w:rsid w:val="00C61143"/>
    <w:rsid w:val="00C74EA0"/>
    <w:rsid w:val="00C76BD4"/>
    <w:rsid w:val="00C773E9"/>
    <w:rsid w:val="00C850D2"/>
    <w:rsid w:val="00C8740F"/>
    <w:rsid w:val="00CC70BC"/>
    <w:rsid w:val="00CD225F"/>
    <w:rsid w:val="00CF1B16"/>
    <w:rsid w:val="00CF2E9E"/>
    <w:rsid w:val="00D01DA0"/>
    <w:rsid w:val="00D02618"/>
    <w:rsid w:val="00D0455B"/>
    <w:rsid w:val="00D051BE"/>
    <w:rsid w:val="00D205FC"/>
    <w:rsid w:val="00D30BC3"/>
    <w:rsid w:val="00D37BB0"/>
    <w:rsid w:val="00D55BFA"/>
    <w:rsid w:val="00D66B71"/>
    <w:rsid w:val="00D670D5"/>
    <w:rsid w:val="00D70C73"/>
    <w:rsid w:val="00D74A06"/>
    <w:rsid w:val="00D76AC3"/>
    <w:rsid w:val="00D85A00"/>
    <w:rsid w:val="00D87223"/>
    <w:rsid w:val="00DB438D"/>
    <w:rsid w:val="00DD05DB"/>
    <w:rsid w:val="00DD3F0C"/>
    <w:rsid w:val="00DF26FF"/>
    <w:rsid w:val="00DF7771"/>
    <w:rsid w:val="00E12274"/>
    <w:rsid w:val="00E23AD5"/>
    <w:rsid w:val="00E44B98"/>
    <w:rsid w:val="00E52C18"/>
    <w:rsid w:val="00E70184"/>
    <w:rsid w:val="00E76CD1"/>
    <w:rsid w:val="00E9508B"/>
    <w:rsid w:val="00E95F22"/>
    <w:rsid w:val="00E96CC8"/>
    <w:rsid w:val="00EB0FC1"/>
    <w:rsid w:val="00ED426B"/>
    <w:rsid w:val="00ED656B"/>
    <w:rsid w:val="00EE0C36"/>
    <w:rsid w:val="00EE5C65"/>
    <w:rsid w:val="00EE5F9D"/>
    <w:rsid w:val="00EF5926"/>
    <w:rsid w:val="00EF7160"/>
    <w:rsid w:val="00F02188"/>
    <w:rsid w:val="00F030B9"/>
    <w:rsid w:val="00F046E5"/>
    <w:rsid w:val="00F05A97"/>
    <w:rsid w:val="00F1261C"/>
    <w:rsid w:val="00F27B34"/>
    <w:rsid w:val="00F8191D"/>
    <w:rsid w:val="00FA7794"/>
    <w:rsid w:val="00FB1867"/>
    <w:rsid w:val="00FB5B94"/>
    <w:rsid w:val="00FB674A"/>
    <w:rsid w:val="00FC2FF1"/>
    <w:rsid w:val="00FD7864"/>
    <w:rsid w:val="00FF05C9"/>
    <w:rsid w:val="00FF121F"/>
    <w:rsid w:val="00FF5FC5"/>
    <w:rsid w:val="00FF7761"/>
    <w:rsid w:val="01825996"/>
    <w:rsid w:val="42140CC2"/>
    <w:rsid w:val="6176180D"/>
    <w:rsid w:val="7D945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iPriority="99"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unhideWhenUsed/>
    <w:uiPriority w:val="99"/>
    <w:pPr>
      <w:jc w:val="left"/>
    </w:pPr>
  </w:style>
  <w:style w:type="paragraph" w:styleId="3">
    <w:name w:val="Balloon Text"/>
    <w:basedOn w:val="1"/>
    <w:link w:val="13"/>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unhideWhenUsed/>
    <w:uiPriority w:val="99"/>
    <w:rPr>
      <w:b/>
      <w:bCs/>
    </w:rPr>
  </w:style>
  <w:style w:type="character" w:styleId="9">
    <w:name w:val="page number"/>
    <w:basedOn w:val="8"/>
    <w:uiPriority w:val="0"/>
  </w:style>
  <w:style w:type="character" w:styleId="10">
    <w:name w:val="annotation reference"/>
    <w:unhideWhenUsed/>
    <w:uiPriority w:val="99"/>
    <w:rPr>
      <w:sz w:val="21"/>
      <w:szCs w:val="21"/>
    </w:rPr>
  </w:style>
  <w:style w:type="character" w:customStyle="1" w:styleId="11">
    <w:name w:val="页脚 Char"/>
    <w:link w:val="4"/>
    <w:uiPriority w:val="99"/>
    <w:rPr>
      <w:kern w:val="2"/>
      <w:sz w:val="18"/>
      <w:szCs w:val="18"/>
    </w:rPr>
  </w:style>
  <w:style w:type="character" w:customStyle="1" w:styleId="12">
    <w:name w:val="页眉 Char"/>
    <w:link w:val="5"/>
    <w:semiHidden/>
    <w:uiPriority w:val="99"/>
    <w:rPr>
      <w:kern w:val="2"/>
      <w:sz w:val="18"/>
      <w:szCs w:val="18"/>
    </w:rPr>
  </w:style>
  <w:style w:type="character" w:customStyle="1" w:styleId="13">
    <w:name w:val="批注框文本 Char"/>
    <w:link w:val="3"/>
    <w:semiHidden/>
    <w:uiPriority w:val="99"/>
    <w:rPr>
      <w:kern w:val="2"/>
      <w:sz w:val="18"/>
      <w:szCs w:val="18"/>
    </w:rPr>
  </w:style>
  <w:style w:type="character" w:customStyle="1" w:styleId="14">
    <w:name w:val="批注主题 Char"/>
    <w:link w:val="6"/>
    <w:semiHidden/>
    <w:qFormat/>
    <w:uiPriority w:val="99"/>
    <w:rPr>
      <w:b/>
      <w:bCs/>
      <w:kern w:val="2"/>
      <w:sz w:val="21"/>
      <w:szCs w:val="22"/>
    </w:rPr>
  </w:style>
  <w:style w:type="character" w:customStyle="1" w:styleId="15">
    <w:name w:val="批注文字 Char"/>
    <w:link w:val="2"/>
    <w:semiHidden/>
    <w:uiPriority w:val="99"/>
    <w:rPr>
      <w:kern w:val="2"/>
      <w:sz w:val="21"/>
      <w:szCs w:val="22"/>
    </w:rPr>
  </w:style>
  <w:style w:type="paragraph" w:customStyle="1" w:styleId="16">
    <w:name w:val="Char1"/>
    <w:basedOn w:val="1"/>
    <w:uiPriority w:val="0"/>
    <w:pPr>
      <w:tabs>
        <w:tab w:val="left" w:pos="840"/>
      </w:tabs>
      <w:ind w:left="840" w:hanging="420"/>
    </w:pPr>
    <w:rPr>
      <w:sz w:val="24"/>
      <w:szCs w:val="24"/>
    </w:rPr>
  </w:style>
  <w:style w:type="paragraph" w:customStyle="1" w:styleId="17">
    <w:name w:val="_Style 16"/>
    <w:semiHidden/>
    <w:uiPriority w:val="99"/>
    <w:rPr>
      <w:rFonts w:ascii="Times New Roman" w:hAnsi="Times New Roman" w:eastAsia="宋体" w:cs="Times New Roman"/>
      <w:kern w:val="2"/>
      <w:sz w:val="21"/>
      <w:szCs w:val="22"/>
      <w:lang w:val="en-US" w:eastAsia="zh-CN" w:bidi="ar-SA"/>
    </w:rPr>
  </w:style>
  <w:style w:type="paragraph" w:customStyle="1" w:styleId="18">
    <w:name w:val="正文 New"/>
    <w:uiPriority w:val="0"/>
    <w:pPr>
      <w:widowControl w:val="0"/>
      <w:jc w:val="both"/>
    </w:pPr>
    <w:rPr>
      <w:rFonts w:ascii="Times New Roman" w:hAnsi="Times New Roman" w:eastAsia="宋体" w:cs="Times New Roman"/>
      <w:kern w:val="2"/>
      <w:sz w:val="21"/>
      <w:szCs w:val="24"/>
      <w:lang w:val="en-US" w:eastAsia="zh-CN" w:bidi="ar-SA"/>
    </w:rPr>
  </w:style>
  <w:style w:type="paragraph" w:styleId="19">
    <w:name w:val="List Paragraph"/>
    <w:basedOn w:val="1"/>
    <w:unhideWhenUsed/>
    <w:uiPriority w:val="99"/>
    <w:pPr>
      <w:ind w:firstLine="420" w:firstLineChars="200"/>
    </w:pPr>
  </w:style>
  <w:style w:type="paragraph" w:customStyle="1" w:styleId="20">
    <w:name w:val="Revision"/>
    <w:hidden/>
    <w:unhideWhenUsed/>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9616;&#26377;&#36164;&#26009;\&#35780;&#20272;\&#30058;&#31162;&#23616;&#35201;&#27714;\&#12304;&#31319;&#65288;&#30058;&#65289;&#29615;&#31649;&#24433;&#12308;2021&#12309;&#215;&#21495;&#12305;&#29615;&#35780;&#25209;&#22797;&#27169;&#26495;-&#29615;&#35780;&#25253;&#21578;&#34920;&#65288;2021&#24180;6&#26376;&#29256;&#26032;&#65289;-&#20313;&#2403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【穗（番）环管影〔2021〕×号】环评批复模板-环评报告表（2021年6月版新）-余工.dot</Template>
  <Company>微软中国</Company>
  <Pages>4</Pages>
  <Words>1699</Words>
  <Characters>1881</Characters>
  <Lines>13</Lines>
  <Paragraphs>3</Paragraphs>
  <TotalTime>113</TotalTime>
  <ScaleCrop>false</ScaleCrop>
  <LinksUpToDate>false</LinksUpToDate>
  <CharactersWithSpaces>1934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2021-06-10T06:25:00Z</dcterms:created>
  <dc:creator>Administrator</dc:creator>
  <cp:lastModifiedBy>.</cp:lastModifiedBy>
  <dcterms:modified xsi:type="dcterms:W3CDTF">2025-06-10T06:50:45Z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ined">
    <vt:bool>true</vt:bool>
  </property>
  <property fmtid="{D5CDD505-2E9C-101B-9397-08002B2CF9AE}" pid="3" name="KSOProductBuildVer">
    <vt:lpwstr>2052-12.1.0.21171</vt:lpwstr>
  </property>
  <property fmtid="{D5CDD505-2E9C-101B-9397-08002B2CF9AE}" pid="4" name="ICV">
    <vt:lpwstr>62CE651DE5E1495D93076E939CBC5AF7</vt:lpwstr>
  </property>
  <property fmtid="{D5CDD505-2E9C-101B-9397-08002B2CF9AE}" pid="5" name="KSOTemplateDocerSaveRecord">
    <vt:lpwstr>eyJoZGlkIjoiZTFiYjM5ZWI1OGVmYzkzOTU3ZjBhZDBmNTRjNGQ0YzkiLCJ1c2VySWQiOiI0MTYwMTQzMjQifQ==</vt:lpwstr>
  </property>
</Properties>
</file>