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E06" w:rsidRDefault="00A55E06" w:rsidP="00A55E06">
      <w:pPr>
        <w:jc w:val="center"/>
        <w:rPr>
          <w:rFonts w:ascii="方正小标宋简体" w:eastAsia="方正小标宋简体"/>
          <w:sz w:val="36"/>
          <w:szCs w:val="36"/>
        </w:rPr>
      </w:pPr>
      <w:bookmarkStart w:id="0" w:name="_GoBack"/>
      <w:proofErr w:type="gramStart"/>
      <w:r>
        <w:rPr>
          <w:rFonts w:ascii="方正小标宋简体" w:eastAsia="方正小标宋简体" w:hint="eastAsia"/>
          <w:sz w:val="36"/>
          <w:szCs w:val="36"/>
        </w:rPr>
        <w:t>《</w:t>
      </w:r>
      <w:proofErr w:type="gramEnd"/>
      <w:r>
        <w:rPr>
          <w:rFonts w:ascii="方正小标宋简体" w:eastAsia="方正小标宋简体" w:hint="eastAsia"/>
          <w:sz w:val="36"/>
          <w:szCs w:val="36"/>
        </w:rPr>
        <w:t>关于确定广东外语外贸大学附属番禺小学招生地段范围及招生对象的通知</w:t>
      </w:r>
    </w:p>
    <w:p w:rsidR="00A55E06" w:rsidRDefault="00A55E06" w:rsidP="00A55E06">
      <w:pPr>
        <w:jc w:val="center"/>
        <w:rPr>
          <w:rFonts w:ascii="仿宋_GB2312" w:eastAsia="仿宋_GB2312"/>
          <w:sz w:val="36"/>
          <w:szCs w:val="36"/>
        </w:rPr>
      </w:pPr>
      <w:r>
        <w:rPr>
          <w:rFonts w:ascii="方正小标宋简体" w:eastAsia="方正小标宋简体" w:hint="eastAsia"/>
          <w:sz w:val="36"/>
          <w:szCs w:val="36"/>
        </w:rPr>
        <w:t>（征求意见稿）</w:t>
      </w:r>
      <w:proofErr w:type="gramStart"/>
      <w:r>
        <w:rPr>
          <w:rFonts w:ascii="方正小标宋简体" w:eastAsia="方正小标宋简体" w:hint="eastAsia"/>
          <w:sz w:val="36"/>
          <w:szCs w:val="36"/>
        </w:rPr>
        <w:t>》</w:t>
      </w:r>
      <w:proofErr w:type="gramEnd"/>
      <w:r>
        <w:rPr>
          <w:rFonts w:ascii="方正小标宋简体" w:eastAsia="方正小标宋简体" w:hint="eastAsia"/>
          <w:sz w:val="36"/>
          <w:szCs w:val="36"/>
        </w:rPr>
        <w:t>意见反馈及采纳情况表</w:t>
      </w:r>
    </w:p>
    <w:tbl>
      <w:tblPr>
        <w:tblStyle w:val="a3"/>
        <w:tblW w:w="14884" w:type="dxa"/>
        <w:tblInd w:w="-459" w:type="dxa"/>
        <w:tblLook w:val="04A0" w:firstRow="1" w:lastRow="0" w:firstColumn="1" w:lastColumn="0" w:noHBand="0" w:noVBand="1"/>
      </w:tblPr>
      <w:tblGrid>
        <w:gridCol w:w="993"/>
        <w:gridCol w:w="4536"/>
        <w:gridCol w:w="8079"/>
        <w:gridCol w:w="1276"/>
      </w:tblGrid>
      <w:tr w:rsidR="00A55E06" w:rsidTr="00E37974">
        <w:tc>
          <w:tcPr>
            <w:tcW w:w="993" w:type="dxa"/>
          </w:tcPr>
          <w:bookmarkEnd w:id="0"/>
          <w:p w:rsidR="00A55E06" w:rsidRDefault="00A55E06" w:rsidP="00E37974">
            <w:pPr>
              <w:jc w:val="center"/>
              <w:rPr>
                <w:rFonts w:ascii="仿宋_GB2312" w:eastAsia="仿宋_GB2312"/>
                <w:b/>
                <w:sz w:val="32"/>
                <w:szCs w:val="32"/>
              </w:rPr>
            </w:pPr>
            <w:r>
              <w:rPr>
                <w:rFonts w:ascii="仿宋_GB2312" w:eastAsia="仿宋_GB2312" w:hint="eastAsia"/>
                <w:b/>
                <w:sz w:val="32"/>
                <w:szCs w:val="32"/>
              </w:rPr>
              <w:t>序号</w:t>
            </w:r>
          </w:p>
        </w:tc>
        <w:tc>
          <w:tcPr>
            <w:tcW w:w="4536" w:type="dxa"/>
          </w:tcPr>
          <w:p w:rsidR="00A55E06" w:rsidRDefault="00A55E06" w:rsidP="00E37974">
            <w:pPr>
              <w:jc w:val="center"/>
              <w:rPr>
                <w:rFonts w:ascii="仿宋_GB2312" w:eastAsia="仿宋_GB2312"/>
                <w:b/>
                <w:sz w:val="32"/>
                <w:szCs w:val="32"/>
              </w:rPr>
            </w:pPr>
            <w:r>
              <w:rPr>
                <w:rFonts w:ascii="仿宋_GB2312" w:eastAsia="仿宋_GB2312" w:hint="eastAsia"/>
                <w:b/>
                <w:sz w:val="32"/>
                <w:szCs w:val="32"/>
              </w:rPr>
              <w:t>意见内容</w:t>
            </w:r>
          </w:p>
        </w:tc>
        <w:tc>
          <w:tcPr>
            <w:tcW w:w="8079" w:type="dxa"/>
          </w:tcPr>
          <w:p w:rsidR="00A55E06" w:rsidRDefault="00A55E06" w:rsidP="00E37974">
            <w:pPr>
              <w:jc w:val="center"/>
              <w:rPr>
                <w:rFonts w:ascii="仿宋_GB2312" w:eastAsia="仿宋_GB2312"/>
                <w:b/>
                <w:sz w:val="32"/>
                <w:szCs w:val="32"/>
              </w:rPr>
            </w:pPr>
            <w:r>
              <w:rPr>
                <w:rFonts w:ascii="仿宋_GB2312" w:eastAsia="仿宋_GB2312" w:hint="eastAsia"/>
                <w:b/>
                <w:sz w:val="32"/>
                <w:szCs w:val="32"/>
              </w:rPr>
              <w:t>采纳情况及理由</w:t>
            </w:r>
          </w:p>
        </w:tc>
        <w:tc>
          <w:tcPr>
            <w:tcW w:w="1276" w:type="dxa"/>
          </w:tcPr>
          <w:p w:rsidR="00A55E06" w:rsidRDefault="00A55E06" w:rsidP="00E37974">
            <w:pPr>
              <w:jc w:val="center"/>
              <w:rPr>
                <w:rFonts w:ascii="仿宋_GB2312" w:eastAsia="仿宋_GB2312"/>
                <w:b/>
                <w:sz w:val="32"/>
                <w:szCs w:val="32"/>
              </w:rPr>
            </w:pPr>
            <w:r>
              <w:rPr>
                <w:rFonts w:ascii="仿宋_GB2312" w:eastAsia="仿宋_GB2312" w:hint="eastAsia"/>
                <w:b/>
                <w:sz w:val="32"/>
                <w:szCs w:val="32"/>
              </w:rPr>
              <w:t>备注</w:t>
            </w:r>
          </w:p>
        </w:tc>
      </w:tr>
      <w:tr w:rsidR="00A55E06" w:rsidTr="00E37974">
        <w:trPr>
          <w:trHeight w:val="1815"/>
        </w:trPr>
        <w:tc>
          <w:tcPr>
            <w:tcW w:w="993" w:type="dxa"/>
            <w:vAlign w:val="center"/>
          </w:tcPr>
          <w:p w:rsidR="00A55E06" w:rsidRDefault="00A55E06" w:rsidP="00E37974">
            <w:pPr>
              <w:spacing w:line="500" w:lineRule="exact"/>
              <w:jc w:val="center"/>
              <w:rPr>
                <w:rFonts w:ascii="仿宋_GB2312" w:eastAsia="仿宋_GB2312"/>
                <w:sz w:val="32"/>
                <w:szCs w:val="32"/>
              </w:rPr>
            </w:pPr>
            <w:r>
              <w:rPr>
                <w:rFonts w:ascii="仿宋_GB2312" w:eastAsia="仿宋_GB2312" w:hint="eastAsia"/>
                <w:sz w:val="32"/>
                <w:szCs w:val="32"/>
              </w:rPr>
              <w:t>1</w:t>
            </w:r>
          </w:p>
        </w:tc>
        <w:tc>
          <w:tcPr>
            <w:tcW w:w="4536" w:type="dxa"/>
            <w:vAlign w:val="center"/>
          </w:tcPr>
          <w:p w:rsidR="00A55E06" w:rsidRDefault="00A55E06" w:rsidP="00E37974">
            <w:pPr>
              <w:spacing w:line="400" w:lineRule="exact"/>
              <w:ind w:firstLineChars="200" w:firstLine="640"/>
              <w:rPr>
                <w:rFonts w:ascii="仿宋_GB2312" w:eastAsia="仿宋_GB2312"/>
                <w:sz w:val="32"/>
                <w:szCs w:val="32"/>
              </w:rPr>
            </w:pPr>
            <w:r>
              <w:rPr>
                <w:rFonts w:ascii="仿宋_GB2312" w:eastAsia="仿宋_GB2312" w:hAnsi="仿宋" w:hint="eastAsia"/>
                <w:sz w:val="32"/>
                <w:szCs w:val="32"/>
              </w:rPr>
              <w:t>征求意见</w:t>
            </w:r>
            <w:proofErr w:type="gramStart"/>
            <w:r>
              <w:rPr>
                <w:rFonts w:ascii="仿宋_GB2312" w:eastAsia="仿宋_GB2312" w:hAnsi="仿宋" w:hint="eastAsia"/>
                <w:sz w:val="32"/>
                <w:szCs w:val="32"/>
              </w:rPr>
              <w:t>稿对于</w:t>
            </w:r>
            <w:proofErr w:type="gramEnd"/>
            <w:r>
              <w:rPr>
                <w:rFonts w:ascii="仿宋_GB2312" w:eastAsia="仿宋_GB2312" w:hAnsi="仿宋" w:hint="eastAsia"/>
                <w:sz w:val="32"/>
                <w:szCs w:val="32"/>
              </w:rPr>
              <w:t>招生地段范围及招生对象的划定，能依法依规，符合小区配套公办学校的相关招生规定。</w:t>
            </w:r>
          </w:p>
        </w:tc>
        <w:tc>
          <w:tcPr>
            <w:tcW w:w="8079" w:type="dxa"/>
            <w:vAlign w:val="center"/>
          </w:tcPr>
          <w:p w:rsidR="00A55E06" w:rsidRDefault="00A55E06" w:rsidP="00E37974">
            <w:pPr>
              <w:spacing w:line="400" w:lineRule="exact"/>
              <w:ind w:firstLineChars="200" w:firstLine="640"/>
              <w:rPr>
                <w:rFonts w:ascii="仿宋_GB2312" w:eastAsia="仿宋_GB2312"/>
                <w:sz w:val="32"/>
                <w:szCs w:val="32"/>
              </w:rPr>
            </w:pPr>
            <w:r>
              <w:rPr>
                <w:rFonts w:ascii="仿宋_GB2312" w:eastAsia="仿宋_GB2312" w:hint="eastAsia"/>
                <w:sz w:val="32"/>
                <w:szCs w:val="32"/>
              </w:rPr>
              <w:t>采纳</w:t>
            </w:r>
          </w:p>
        </w:tc>
        <w:tc>
          <w:tcPr>
            <w:tcW w:w="1276" w:type="dxa"/>
          </w:tcPr>
          <w:p w:rsidR="00A55E06" w:rsidRDefault="00A55E06" w:rsidP="00E37974">
            <w:pPr>
              <w:spacing w:line="440" w:lineRule="exact"/>
              <w:rPr>
                <w:rFonts w:ascii="仿宋_GB2312" w:eastAsia="仿宋_GB2312"/>
                <w:sz w:val="32"/>
                <w:szCs w:val="32"/>
              </w:rPr>
            </w:pPr>
          </w:p>
        </w:tc>
      </w:tr>
      <w:tr w:rsidR="00A55E06" w:rsidTr="00E37974">
        <w:trPr>
          <w:trHeight w:val="1800"/>
        </w:trPr>
        <w:tc>
          <w:tcPr>
            <w:tcW w:w="993" w:type="dxa"/>
            <w:vAlign w:val="center"/>
          </w:tcPr>
          <w:p w:rsidR="00A55E06" w:rsidRDefault="00A55E06" w:rsidP="00E37974">
            <w:pPr>
              <w:spacing w:line="500" w:lineRule="exact"/>
              <w:jc w:val="center"/>
              <w:rPr>
                <w:rFonts w:ascii="仿宋_GB2312" w:eastAsia="仿宋_GB2312"/>
                <w:sz w:val="32"/>
                <w:szCs w:val="32"/>
              </w:rPr>
            </w:pPr>
            <w:r>
              <w:rPr>
                <w:rFonts w:ascii="仿宋_GB2312" w:eastAsia="仿宋_GB2312" w:hint="eastAsia"/>
                <w:sz w:val="32"/>
                <w:szCs w:val="32"/>
              </w:rPr>
              <w:t>2</w:t>
            </w:r>
          </w:p>
        </w:tc>
        <w:tc>
          <w:tcPr>
            <w:tcW w:w="4536" w:type="dxa"/>
            <w:vAlign w:val="center"/>
          </w:tcPr>
          <w:p w:rsidR="00A55E06" w:rsidRDefault="00A55E06" w:rsidP="00E37974">
            <w:pPr>
              <w:spacing w:line="400" w:lineRule="exact"/>
              <w:ind w:firstLineChars="200" w:firstLine="640"/>
              <w:rPr>
                <w:rFonts w:ascii="仿宋_GB2312" w:eastAsia="仿宋_GB2312"/>
                <w:sz w:val="32"/>
                <w:szCs w:val="32"/>
              </w:rPr>
            </w:pPr>
            <w:r>
              <w:rPr>
                <w:rFonts w:ascii="仿宋_GB2312" w:eastAsia="仿宋_GB2312" w:hAnsi="仿宋" w:hint="eastAsia"/>
                <w:sz w:val="32"/>
                <w:szCs w:val="32"/>
              </w:rPr>
              <w:t>征求意见</w:t>
            </w:r>
            <w:proofErr w:type="gramStart"/>
            <w:r>
              <w:rPr>
                <w:rFonts w:ascii="仿宋_GB2312" w:eastAsia="仿宋_GB2312" w:hAnsi="仿宋" w:hint="eastAsia"/>
                <w:sz w:val="32"/>
                <w:szCs w:val="32"/>
              </w:rPr>
              <w:t>稿规划</w:t>
            </w:r>
            <w:proofErr w:type="gramEnd"/>
            <w:r>
              <w:rPr>
                <w:rFonts w:ascii="仿宋_GB2312" w:eastAsia="仿宋_GB2312" w:hAnsi="仿宋" w:hint="eastAsia"/>
                <w:sz w:val="32"/>
                <w:szCs w:val="32"/>
              </w:rPr>
              <w:t>的24个班规模，既兼顾了学校办学效益，也统筹考虑学校附近的交通状况及片区未来发展等情况，符合实际情况。</w:t>
            </w:r>
          </w:p>
        </w:tc>
        <w:tc>
          <w:tcPr>
            <w:tcW w:w="8079" w:type="dxa"/>
            <w:vAlign w:val="center"/>
          </w:tcPr>
          <w:p w:rsidR="00A55E06" w:rsidRDefault="00A55E06" w:rsidP="00E37974">
            <w:pPr>
              <w:spacing w:line="400" w:lineRule="exact"/>
              <w:ind w:firstLineChars="200" w:firstLine="640"/>
              <w:rPr>
                <w:rFonts w:ascii="仿宋_GB2312" w:eastAsia="仿宋_GB2312"/>
                <w:sz w:val="32"/>
                <w:szCs w:val="32"/>
              </w:rPr>
            </w:pPr>
            <w:r>
              <w:rPr>
                <w:rFonts w:ascii="仿宋_GB2312" w:eastAsia="仿宋_GB2312" w:hint="eastAsia"/>
                <w:sz w:val="32"/>
                <w:szCs w:val="32"/>
              </w:rPr>
              <w:t>采纳</w:t>
            </w:r>
          </w:p>
        </w:tc>
        <w:tc>
          <w:tcPr>
            <w:tcW w:w="1276" w:type="dxa"/>
          </w:tcPr>
          <w:p w:rsidR="00A55E06" w:rsidRDefault="00A55E06" w:rsidP="00E37974">
            <w:pPr>
              <w:spacing w:line="440" w:lineRule="exact"/>
              <w:rPr>
                <w:rFonts w:ascii="仿宋_GB2312" w:eastAsia="仿宋_GB2312"/>
                <w:sz w:val="32"/>
                <w:szCs w:val="32"/>
              </w:rPr>
            </w:pPr>
          </w:p>
        </w:tc>
      </w:tr>
      <w:tr w:rsidR="00A55E06" w:rsidTr="00E37974">
        <w:trPr>
          <w:trHeight w:val="2555"/>
        </w:trPr>
        <w:tc>
          <w:tcPr>
            <w:tcW w:w="993" w:type="dxa"/>
            <w:vAlign w:val="center"/>
          </w:tcPr>
          <w:p w:rsidR="00A55E06" w:rsidRDefault="00A55E06" w:rsidP="00E37974">
            <w:pPr>
              <w:spacing w:line="500" w:lineRule="exact"/>
              <w:jc w:val="center"/>
              <w:rPr>
                <w:rFonts w:ascii="仿宋_GB2312" w:eastAsia="仿宋_GB2312"/>
                <w:sz w:val="32"/>
                <w:szCs w:val="32"/>
              </w:rPr>
            </w:pPr>
            <w:r>
              <w:rPr>
                <w:rFonts w:ascii="仿宋_GB2312" w:eastAsia="仿宋_GB2312" w:hint="eastAsia"/>
                <w:sz w:val="32"/>
                <w:szCs w:val="32"/>
              </w:rPr>
              <w:t>3</w:t>
            </w:r>
          </w:p>
        </w:tc>
        <w:tc>
          <w:tcPr>
            <w:tcW w:w="4536" w:type="dxa"/>
            <w:vAlign w:val="center"/>
          </w:tcPr>
          <w:p w:rsidR="00A55E06" w:rsidRDefault="00A55E06" w:rsidP="00E37974">
            <w:pPr>
              <w:spacing w:line="400" w:lineRule="exact"/>
              <w:ind w:firstLineChars="200" w:firstLine="640"/>
              <w:rPr>
                <w:rFonts w:ascii="仿宋_GB2312" w:eastAsia="仿宋_GB2312" w:hAnsi="仿宋"/>
                <w:sz w:val="32"/>
                <w:szCs w:val="32"/>
              </w:rPr>
            </w:pPr>
            <w:r>
              <w:rPr>
                <w:rFonts w:ascii="仿宋_GB2312" w:eastAsia="仿宋_GB2312" w:hAnsi="仿宋" w:hint="eastAsia"/>
                <w:sz w:val="32"/>
                <w:szCs w:val="32"/>
              </w:rPr>
              <w:t>广东外语外贸大学附属番禺小学属于</w:t>
            </w:r>
            <w:proofErr w:type="gramStart"/>
            <w:r>
              <w:rPr>
                <w:rFonts w:ascii="仿宋_GB2312" w:eastAsia="仿宋_GB2312" w:hAnsi="仿宋" w:hint="eastAsia"/>
                <w:sz w:val="32"/>
                <w:szCs w:val="32"/>
              </w:rPr>
              <w:t>龙湖金地</w:t>
            </w:r>
            <w:proofErr w:type="gramEnd"/>
            <w:r>
              <w:rPr>
                <w:rFonts w:ascii="仿宋_GB2312" w:eastAsia="仿宋_GB2312" w:hAnsi="仿宋" w:hint="eastAsia"/>
                <w:sz w:val="32"/>
                <w:szCs w:val="32"/>
              </w:rPr>
              <w:t>天峯配套建设学校，通过引进名校进行教育资源升级，应该优先保障配套学校相关小区业主的子女入学就读权益。</w:t>
            </w:r>
          </w:p>
        </w:tc>
        <w:tc>
          <w:tcPr>
            <w:tcW w:w="8079" w:type="dxa"/>
            <w:vAlign w:val="center"/>
          </w:tcPr>
          <w:p w:rsidR="00A55E06" w:rsidRDefault="00A55E06" w:rsidP="00E37974">
            <w:pPr>
              <w:spacing w:line="400" w:lineRule="exact"/>
              <w:ind w:firstLineChars="200" w:firstLine="640"/>
              <w:rPr>
                <w:rFonts w:ascii="仿宋_GB2312" w:eastAsia="仿宋_GB2312"/>
                <w:sz w:val="32"/>
                <w:szCs w:val="32"/>
              </w:rPr>
            </w:pPr>
            <w:r>
              <w:rPr>
                <w:rFonts w:ascii="仿宋_GB2312" w:eastAsia="仿宋_GB2312" w:hint="eastAsia"/>
                <w:sz w:val="32"/>
                <w:szCs w:val="32"/>
              </w:rPr>
              <w:t>部分采纳。</w:t>
            </w:r>
          </w:p>
          <w:p w:rsidR="00A55E06" w:rsidRDefault="00A55E06" w:rsidP="00E37974">
            <w:pPr>
              <w:spacing w:line="400" w:lineRule="exact"/>
              <w:ind w:firstLineChars="200" w:firstLine="640"/>
              <w:rPr>
                <w:rFonts w:ascii="仿宋_GB2312" w:eastAsia="仿宋_GB2312"/>
                <w:sz w:val="32"/>
                <w:szCs w:val="32"/>
              </w:rPr>
            </w:pPr>
            <w:r>
              <w:rPr>
                <w:rFonts w:ascii="仿宋_GB2312" w:eastAsia="仿宋_GB2312" w:hint="eastAsia"/>
                <w:sz w:val="32"/>
                <w:szCs w:val="32"/>
              </w:rPr>
              <w:t>根据现行义务教育招生政策，依法保障具有</w:t>
            </w:r>
            <w:proofErr w:type="gramStart"/>
            <w:r>
              <w:rPr>
                <w:rFonts w:ascii="仿宋_GB2312" w:eastAsia="仿宋_GB2312" w:hint="eastAsia"/>
                <w:sz w:val="32"/>
                <w:szCs w:val="32"/>
              </w:rPr>
              <w:t>龙湖金地</w:t>
            </w:r>
            <w:proofErr w:type="gramEnd"/>
            <w:r>
              <w:rPr>
                <w:rFonts w:ascii="仿宋_GB2312" w:eastAsia="仿宋_GB2312" w:hint="eastAsia"/>
                <w:sz w:val="32"/>
                <w:szCs w:val="32"/>
              </w:rPr>
              <w:t>天峯小区户籍的业主子女入读资格。对于不具有</w:t>
            </w:r>
            <w:proofErr w:type="gramStart"/>
            <w:r>
              <w:rPr>
                <w:rFonts w:ascii="仿宋_GB2312" w:eastAsia="仿宋_GB2312" w:hint="eastAsia"/>
                <w:sz w:val="32"/>
                <w:szCs w:val="32"/>
              </w:rPr>
              <w:t>龙湖金地</w:t>
            </w:r>
            <w:proofErr w:type="gramEnd"/>
            <w:r>
              <w:rPr>
                <w:rFonts w:ascii="仿宋_GB2312" w:eastAsia="仿宋_GB2312" w:hint="eastAsia"/>
                <w:sz w:val="32"/>
                <w:szCs w:val="32"/>
              </w:rPr>
              <w:t>天峯小区户籍的业主子女，在有剩余学位的情况下，根据</w:t>
            </w:r>
            <w:proofErr w:type="gramStart"/>
            <w:r>
              <w:rPr>
                <w:rFonts w:ascii="仿宋_GB2312" w:eastAsia="仿宋_GB2312" w:hint="eastAsia"/>
                <w:sz w:val="32"/>
                <w:szCs w:val="32"/>
              </w:rPr>
              <w:t>番禺区小区</w:t>
            </w:r>
            <w:proofErr w:type="gramEnd"/>
            <w:r>
              <w:rPr>
                <w:rFonts w:ascii="仿宋_GB2312" w:eastAsia="仿宋_GB2312" w:hint="eastAsia"/>
                <w:sz w:val="32"/>
                <w:szCs w:val="32"/>
              </w:rPr>
              <w:t>配套公办学校学位安排原则安排入学。</w:t>
            </w:r>
          </w:p>
        </w:tc>
        <w:tc>
          <w:tcPr>
            <w:tcW w:w="1276" w:type="dxa"/>
          </w:tcPr>
          <w:p w:rsidR="00A55E06" w:rsidRDefault="00A55E06" w:rsidP="00E37974">
            <w:pPr>
              <w:spacing w:line="440" w:lineRule="exact"/>
              <w:rPr>
                <w:rFonts w:ascii="仿宋_GB2312" w:eastAsia="仿宋_GB2312"/>
                <w:sz w:val="32"/>
                <w:szCs w:val="32"/>
              </w:rPr>
            </w:pPr>
          </w:p>
        </w:tc>
      </w:tr>
      <w:tr w:rsidR="00A55E06" w:rsidTr="00E37974">
        <w:trPr>
          <w:trHeight w:val="1890"/>
        </w:trPr>
        <w:tc>
          <w:tcPr>
            <w:tcW w:w="993" w:type="dxa"/>
            <w:vAlign w:val="center"/>
          </w:tcPr>
          <w:p w:rsidR="00A55E06" w:rsidRDefault="00A55E06" w:rsidP="00E37974">
            <w:pPr>
              <w:spacing w:line="500" w:lineRule="exact"/>
              <w:jc w:val="center"/>
              <w:rPr>
                <w:rFonts w:ascii="仿宋_GB2312" w:eastAsia="仿宋_GB2312"/>
                <w:sz w:val="32"/>
                <w:szCs w:val="32"/>
              </w:rPr>
            </w:pPr>
            <w:r>
              <w:rPr>
                <w:rFonts w:ascii="仿宋_GB2312" w:eastAsia="仿宋_GB2312" w:hint="eastAsia"/>
                <w:sz w:val="32"/>
                <w:szCs w:val="32"/>
              </w:rPr>
              <w:lastRenderedPageBreak/>
              <w:t>4</w:t>
            </w:r>
          </w:p>
        </w:tc>
        <w:tc>
          <w:tcPr>
            <w:tcW w:w="4536" w:type="dxa"/>
            <w:vAlign w:val="center"/>
          </w:tcPr>
          <w:p w:rsidR="00A55E06" w:rsidRDefault="00A55E06" w:rsidP="00E37974">
            <w:pPr>
              <w:spacing w:line="400" w:lineRule="exact"/>
              <w:ind w:firstLineChars="200" w:firstLine="640"/>
              <w:rPr>
                <w:rFonts w:ascii="仿宋_GB2312" w:eastAsia="仿宋_GB2312" w:hAnsi="仿宋"/>
                <w:sz w:val="32"/>
                <w:szCs w:val="32"/>
              </w:rPr>
            </w:pPr>
            <w:proofErr w:type="gramStart"/>
            <w:r>
              <w:rPr>
                <w:rFonts w:ascii="仿宋_GB2312" w:eastAsia="仿宋_GB2312" w:hAnsi="仿宋" w:hint="eastAsia"/>
                <w:sz w:val="32"/>
                <w:szCs w:val="32"/>
              </w:rPr>
              <w:t>尚东尚筑和城市</w:t>
            </w:r>
            <w:proofErr w:type="gramEnd"/>
            <w:r>
              <w:rPr>
                <w:rFonts w:ascii="仿宋_GB2312" w:eastAsia="仿宋_GB2312" w:hAnsi="仿宋" w:hint="eastAsia"/>
                <w:sz w:val="32"/>
                <w:szCs w:val="32"/>
              </w:rPr>
              <w:t>花园小区建议划入广东外语外贸大学附属番禺小学招生地段范围。</w:t>
            </w:r>
          </w:p>
        </w:tc>
        <w:tc>
          <w:tcPr>
            <w:tcW w:w="8079" w:type="dxa"/>
            <w:vAlign w:val="center"/>
          </w:tcPr>
          <w:p w:rsidR="00A55E06" w:rsidRDefault="00A55E06" w:rsidP="00E37974">
            <w:pPr>
              <w:spacing w:line="400" w:lineRule="exact"/>
              <w:ind w:firstLineChars="200" w:firstLine="640"/>
              <w:rPr>
                <w:rFonts w:ascii="仿宋_GB2312" w:eastAsia="仿宋_GB2312"/>
                <w:sz w:val="32"/>
                <w:szCs w:val="32"/>
              </w:rPr>
            </w:pPr>
            <w:r>
              <w:rPr>
                <w:rFonts w:ascii="仿宋_GB2312" w:eastAsia="仿宋_GB2312" w:hint="eastAsia"/>
                <w:sz w:val="32"/>
                <w:szCs w:val="32"/>
              </w:rPr>
              <w:t>不采纳。</w:t>
            </w:r>
          </w:p>
          <w:p w:rsidR="00A55E06" w:rsidRDefault="00A55E06" w:rsidP="00E37974">
            <w:pPr>
              <w:spacing w:line="400" w:lineRule="exact"/>
              <w:ind w:firstLineChars="200" w:firstLine="640"/>
              <w:rPr>
                <w:rFonts w:ascii="仿宋_GB2312" w:eastAsia="仿宋_GB2312"/>
                <w:sz w:val="32"/>
                <w:szCs w:val="32"/>
              </w:rPr>
            </w:pPr>
            <w:r>
              <w:rPr>
                <w:rFonts w:ascii="仿宋_GB2312" w:eastAsia="仿宋_GB2312" w:hint="eastAsia"/>
                <w:sz w:val="32"/>
                <w:szCs w:val="32"/>
              </w:rPr>
              <w:t>配建小学办学规模无法同时满足</w:t>
            </w:r>
            <w:proofErr w:type="gramStart"/>
            <w:r>
              <w:rPr>
                <w:rFonts w:ascii="仿宋_GB2312" w:eastAsia="仿宋_GB2312" w:hint="eastAsia"/>
                <w:sz w:val="32"/>
                <w:szCs w:val="32"/>
              </w:rPr>
              <w:t>龙湖金地</w:t>
            </w:r>
            <w:proofErr w:type="gramEnd"/>
            <w:r>
              <w:rPr>
                <w:rFonts w:ascii="仿宋_GB2312" w:eastAsia="仿宋_GB2312" w:hint="eastAsia"/>
                <w:sz w:val="32"/>
                <w:szCs w:val="32"/>
              </w:rPr>
              <w:t>天峯、</w:t>
            </w:r>
            <w:proofErr w:type="gramStart"/>
            <w:r>
              <w:rPr>
                <w:rFonts w:ascii="仿宋_GB2312" w:eastAsia="仿宋_GB2312" w:hint="eastAsia"/>
                <w:sz w:val="32"/>
                <w:szCs w:val="32"/>
              </w:rPr>
              <w:t>朗誉花园</w:t>
            </w:r>
            <w:proofErr w:type="gramEnd"/>
            <w:r>
              <w:rPr>
                <w:rFonts w:ascii="仿宋_GB2312" w:eastAsia="仿宋_GB2312" w:hint="eastAsia"/>
                <w:sz w:val="32"/>
                <w:szCs w:val="32"/>
              </w:rPr>
              <w:t>、</w:t>
            </w:r>
            <w:proofErr w:type="gramStart"/>
            <w:r>
              <w:rPr>
                <w:rFonts w:ascii="仿宋_GB2312" w:eastAsia="仿宋_GB2312" w:hAnsi="仿宋" w:hint="eastAsia"/>
                <w:sz w:val="32"/>
                <w:szCs w:val="32"/>
              </w:rPr>
              <w:t>尚东尚筑及城市</w:t>
            </w:r>
            <w:proofErr w:type="gramEnd"/>
            <w:r>
              <w:rPr>
                <w:rFonts w:ascii="仿宋_GB2312" w:eastAsia="仿宋_GB2312" w:hAnsi="仿宋" w:hint="eastAsia"/>
                <w:sz w:val="32"/>
                <w:szCs w:val="32"/>
              </w:rPr>
              <w:t>花园等小区入学需求，且</w:t>
            </w:r>
            <w:proofErr w:type="gramStart"/>
            <w:r>
              <w:rPr>
                <w:rFonts w:ascii="仿宋_GB2312" w:eastAsia="仿宋_GB2312" w:hAnsi="仿宋" w:hint="eastAsia"/>
                <w:sz w:val="32"/>
                <w:szCs w:val="32"/>
              </w:rPr>
              <w:t>尚东尚筑和城市</w:t>
            </w:r>
            <w:proofErr w:type="gramEnd"/>
            <w:r>
              <w:rPr>
                <w:rFonts w:ascii="仿宋_GB2312" w:eastAsia="仿宋_GB2312" w:hAnsi="仿宋" w:hint="eastAsia"/>
                <w:sz w:val="32"/>
                <w:szCs w:val="32"/>
              </w:rPr>
              <w:t>花园已有对口公办小学，暂不考虑调整招生地段。</w:t>
            </w:r>
          </w:p>
        </w:tc>
        <w:tc>
          <w:tcPr>
            <w:tcW w:w="1276" w:type="dxa"/>
          </w:tcPr>
          <w:p w:rsidR="00A55E06" w:rsidRDefault="00A55E06" w:rsidP="00E37974">
            <w:pPr>
              <w:spacing w:line="440" w:lineRule="exact"/>
              <w:rPr>
                <w:rFonts w:ascii="仿宋_GB2312" w:eastAsia="仿宋_GB2312"/>
                <w:sz w:val="32"/>
                <w:szCs w:val="32"/>
              </w:rPr>
            </w:pPr>
          </w:p>
        </w:tc>
      </w:tr>
      <w:tr w:rsidR="00A55E06" w:rsidTr="00E37974">
        <w:trPr>
          <w:trHeight w:val="3100"/>
        </w:trPr>
        <w:tc>
          <w:tcPr>
            <w:tcW w:w="993" w:type="dxa"/>
            <w:vAlign w:val="center"/>
          </w:tcPr>
          <w:p w:rsidR="00A55E06" w:rsidRDefault="00A55E06" w:rsidP="00E37974">
            <w:pPr>
              <w:spacing w:line="500" w:lineRule="exact"/>
              <w:jc w:val="center"/>
              <w:rPr>
                <w:rFonts w:ascii="仿宋_GB2312" w:eastAsia="仿宋_GB2312"/>
                <w:sz w:val="32"/>
                <w:szCs w:val="32"/>
              </w:rPr>
            </w:pPr>
            <w:r>
              <w:rPr>
                <w:rFonts w:ascii="仿宋_GB2312" w:eastAsia="仿宋_GB2312" w:hint="eastAsia"/>
                <w:sz w:val="32"/>
                <w:szCs w:val="32"/>
              </w:rPr>
              <w:t>5</w:t>
            </w:r>
          </w:p>
        </w:tc>
        <w:tc>
          <w:tcPr>
            <w:tcW w:w="4536" w:type="dxa"/>
            <w:vAlign w:val="center"/>
          </w:tcPr>
          <w:p w:rsidR="00A55E06" w:rsidRDefault="00A55E06" w:rsidP="00E37974">
            <w:pPr>
              <w:spacing w:line="400" w:lineRule="exact"/>
              <w:ind w:firstLineChars="200" w:firstLine="640"/>
              <w:rPr>
                <w:rFonts w:ascii="仿宋_GB2312" w:eastAsia="仿宋_GB2312"/>
                <w:sz w:val="32"/>
                <w:szCs w:val="32"/>
              </w:rPr>
            </w:pPr>
            <w:proofErr w:type="gramStart"/>
            <w:r>
              <w:rPr>
                <w:rFonts w:ascii="仿宋_GB2312" w:eastAsia="仿宋_GB2312" w:hAnsi="仿宋" w:hint="eastAsia"/>
                <w:sz w:val="32"/>
                <w:szCs w:val="32"/>
              </w:rPr>
              <w:t>龙湖金地</w:t>
            </w:r>
            <w:proofErr w:type="gramEnd"/>
            <w:r>
              <w:rPr>
                <w:rFonts w:ascii="仿宋_GB2312" w:eastAsia="仿宋_GB2312" w:hAnsi="仿宋" w:hint="eastAsia"/>
                <w:sz w:val="32"/>
                <w:szCs w:val="32"/>
              </w:rPr>
              <w:t>天峯小区非“人户一致”业主不应优先于周边小区“人户一致”业主子女入读；最后剩余学位安排不应特定</w:t>
            </w:r>
            <w:proofErr w:type="gramStart"/>
            <w:r>
              <w:rPr>
                <w:rFonts w:ascii="仿宋_GB2312" w:eastAsia="仿宋_GB2312" w:hAnsi="仿宋" w:hint="eastAsia"/>
                <w:sz w:val="32"/>
                <w:szCs w:val="32"/>
              </w:rPr>
              <w:t>尚东尚筑和城市</w:t>
            </w:r>
            <w:proofErr w:type="gramEnd"/>
            <w:r>
              <w:rPr>
                <w:rFonts w:ascii="仿宋_GB2312" w:eastAsia="仿宋_GB2312" w:hAnsi="仿宋" w:hint="eastAsia"/>
                <w:sz w:val="32"/>
                <w:szCs w:val="32"/>
              </w:rPr>
              <w:t>花园小区，应扩大范围，建议对3公里内小区进行公平摇号统筹安排。</w:t>
            </w:r>
          </w:p>
        </w:tc>
        <w:tc>
          <w:tcPr>
            <w:tcW w:w="8079" w:type="dxa"/>
            <w:vAlign w:val="center"/>
          </w:tcPr>
          <w:p w:rsidR="00A55E06" w:rsidRDefault="00A55E06" w:rsidP="00E37974">
            <w:pPr>
              <w:spacing w:line="400" w:lineRule="exact"/>
              <w:ind w:firstLineChars="200" w:firstLine="640"/>
              <w:rPr>
                <w:rFonts w:ascii="仿宋_GB2312" w:eastAsia="仿宋_GB2312"/>
                <w:sz w:val="32"/>
                <w:szCs w:val="32"/>
              </w:rPr>
            </w:pPr>
            <w:r>
              <w:rPr>
                <w:rFonts w:ascii="仿宋_GB2312" w:eastAsia="仿宋_GB2312" w:hint="eastAsia"/>
                <w:sz w:val="32"/>
                <w:szCs w:val="32"/>
              </w:rPr>
              <w:t>不采纳。</w:t>
            </w:r>
          </w:p>
          <w:p w:rsidR="00A55E06" w:rsidRDefault="00A55E06" w:rsidP="00E37974">
            <w:pPr>
              <w:spacing w:line="400" w:lineRule="exact"/>
              <w:ind w:firstLineChars="200" w:firstLine="640"/>
              <w:rPr>
                <w:rFonts w:ascii="仿宋_GB2312" w:eastAsia="仿宋_GB2312"/>
                <w:sz w:val="32"/>
                <w:szCs w:val="32"/>
              </w:rPr>
            </w:pPr>
            <w:r>
              <w:rPr>
                <w:rFonts w:ascii="仿宋_GB2312" w:eastAsia="仿宋_GB2312" w:hint="eastAsia"/>
                <w:sz w:val="32"/>
                <w:szCs w:val="32"/>
              </w:rPr>
              <w:t>教育部门严格按照招生文件要求开展招生工作，依法保障符合条件的适龄儿童接受义务教育的权利。配建小学周边3公里范围难以精准划定，</w:t>
            </w:r>
            <w:proofErr w:type="gramStart"/>
            <w:r>
              <w:rPr>
                <w:rFonts w:ascii="仿宋_GB2312" w:eastAsia="仿宋_GB2312" w:hint="eastAsia"/>
                <w:sz w:val="32"/>
                <w:szCs w:val="32"/>
              </w:rPr>
              <w:t>且区域</w:t>
            </w:r>
            <w:proofErr w:type="gramEnd"/>
            <w:r>
              <w:rPr>
                <w:rFonts w:ascii="仿宋_GB2312" w:eastAsia="仿宋_GB2312" w:hint="eastAsia"/>
                <w:sz w:val="32"/>
                <w:szCs w:val="32"/>
              </w:rPr>
              <w:t>范围内人口较多，采取电脑派位方式统筹学位会导致周边小区市民入学预期进一步降低，不利于招生稳定。</w:t>
            </w:r>
          </w:p>
        </w:tc>
        <w:tc>
          <w:tcPr>
            <w:tcW w:w="1276" w:type="dxa"/>
          </w:tcPr>
          <w:p w:rsidR="00A55E06" w:rsidRDefault="00A55E06" w:rsidP="00E37974">
            <w:pPr>
              <w:spacing w:line="440" w:lineRule="exact"/>
              <w:rPr>
                <w:rFonts w:ascii="仿宋_GB2312" w:eastAsia="仿宋_GB2312"/>
                <w:sz w:val="32"/>
                <w:szCs w:val="32"/>
              </w:rPr>
            </w:pPr>
          </w:p>
        </w:tc>
      </w:tr>
    </w:tbl>
    <w:p w:rsidR="00A55E06" w:rsidRDefault="00A55E06" w:rsidP="00A55E06">
      <w:pPr>
        <w:rPr>
          <w:rFonts w:ascii="仿宋_GB2312" w:eastAsia="仿宋_GB2312"/>
          <w:sz w:val="32"/>
          <w:szCs w:val="32"/>
        </w:rPr>
      </w:pPr>
    </w:p>
    <w:p w:rsidR="00DB0246" w:rsidRPr="00A55E06" w:rsidRDefault="00A55E06"/>
    <w:sectPr w:rsidR="00DB0246" w:rsidRPr="00A55E06">
      <w:pgSz w:w="16838" w:h="11906" w:orient="landscape"/>
      <w:pgMar w:top="1797" w:right="1440" w:bottom="1797" w:left="144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3" w:usb2="00000009" w:usb3="00000000" w:csb0="000001FF" w:csb1="00000000"/>
  </w:font>
  <w:font w:name="方正小标宋简体">
    <w:altName w:val="Microsoft YaHei UI"/>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E06"/>
    <w:rsid w:val="00045F48"/>
    <w:rsid w:val="00391445"/>
    <w:rsid w:val="006544A4"/>
    <w:rsid w:val="0081701D"/>
    <w:rsid w:val="00A55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1DA866-8D4D-4839-9D14-3DC1A426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E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A55E06"/>
    <w:rPr>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105</Words>
  <Characters>599</Characters>
  <Application>Microsoft Office Word</Application>
  <DocSecurity>0</DocSecurity>
  <Lines>4</Lines>
  <Paragraphs>1</Paragraphs>
  <ScaleCrop>false</ScaleCrop>
  <Company>Organization</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2024-10-18T08:47:00Z</dcterms:created>
  <dcterms:modified xsi:type="dcterms:W3CDTF">2024-10-18T08:52:00Z</dcterms:modified>
</cp:coreProperties>
</file>