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pStyle w:val="2"/>
        <w:ind w:left="1277" w:leftChars="608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参加以旧换新活动电动自行车</w:t>
      </w:r>
    </w:p>
    <w:p>
      <w:pPr>
        <w:pStyle w:val="2"/>
        <w:ind w:left="1277" w:leftChars="608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销售企业名单（格式）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528"/>
        <w:gridCol w:w="1031"/>
        <w:gridCol w:w="1200"/>
        <w:gridCol w:w="1256"/>
        <w:gridCol w:w="1538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所属区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统一社会信用码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28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28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28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53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广州市加力支持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eastAsia="zh-CN"/>
        </w:rPr>
        <w:t>电动自行车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以旧换新活动</w:t>
      </w:r>
    </w:p>
    <w:p>
      <w:pPr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参与企业申请书</w:t>
      </w:r>
    </w:p>
    <w:p>
      <w:pPr>
        <w:jc w:val="center"/>
        <w:rPr>
          <w:rFonts w:ascii="Times New Roman" w:hAnsi="Times New Roman" w:eastAsia="楷体_GB2312"/>
          <w:color w:val="auto"/>
          <w:sz w:val="40"/>
          <w:szCs w:val="40"/>
        </w:rPr>
      </w:pPr>
      <w:r>
        <w:rPr>
          <w:rFonts w:ascii="Times New Roman" w:hAnsi="Times New Roman" w:eastAsia="楷体_GB2312"/>
          <w:color w:val="auto"/>
          <w:sz w:val="40"/>
          <w:szCs w:val="40"/>
        </w:rPr>
        <w:t>（2024年）</w:t>
      </w:r>
    </w:p>
    <w:p>
      <w:pPr>
        <w:rPr>
          <w:rFonts w:ascii="Times New Roman" w:hAnsi="Times New Roman"/>
          <w:color w:val="auto"/>
        </w:rPr>
      </w:pPr>
    </w:p>
    <w:p>
      <w:pPr>
        <w:spacing w:line="520" w:lineRule="exact"/>
        <w:rPr>
          <w:rFonts w:ascii="Times New Roman" w:hAnsi="Times New Roman"/>
          <w:color w:val="auto"/>
        </w:rPr>
      </w:pPr>
    </w:p>
    <w:p>
      <w:pPr>
        <w:spacing w:line="520" w:lineRule="exact"/>
        <w:rPr>
          <w:rFonts w:ascii="Times New Roman" w:hAnsi="Times New Roman"/>
          <w:color w:val="auto"/>
        </w:rPr>
      </w:pPr>
    </w:p>
    <w:p>
      <w:pPr>
        <w:spacing w:line="520" w:lineRule="exact"/>
        <w:rPr>
          <w:rFonts w:ascii="Times New Roman" w:hAnsi="Times New Roman"/>
          <w:color w:val="auto"/>
        </w:rPr>
      </w:pPr>
    </w:p>
    <w:p>
      <w:pPr>
        <w:pStyle w:val="2"/>
        <w:spacing w:line="520" w:lineRule="exact"/>
        <w:rPr>
          <w:rFonts w:ascii="Times New Roman" w:hAnsi="Times New Roman"/>
          <w:color w:val="auto"/>
        </w:rPr>
      </w:pPr>
    </w:p>
    <w:p>
      <w:pPr>
        <w:spacing w:line="520" w:lineRule="exact"/>
        <w:rPr>
          <w:rFonts w:ascii="Times New Roman" w:hAnsi="Times New Roman"/>
          <w:color w:val="auto"/>
        </w:rPr>
      </w:pPr>
    </w:p>
    <w:p>
      <w:pPr>
        <w:spacing w:line="520" w:lineRule="exact"/>
        <w:rPr>
          <w:rFonts w:hint="eastAsia" w:ascii="Times New Roman" w:hAnsi="Times New Roman"/>
          <w:b/>
          <w:bCs/>
          <w:color w:val="auto"/>
          <w:sz w:val="28"/>
          <w:szCs w:val="36"/>
        </w:rPr>
      </w:pPr>
    </w:p>
    <w:p>
      <w:pPr>
        <w:spacing w:line="520" w:lineRule="exact"/>
        <w:rPr>
          <w:rFonts w:ascii="Times New Roman" w:hAnsi="Times New Roman"/>
          <w:b/>
          <w:bCs/>
          <w:color w:val="auto"/>
          <w:sz w:val="28"/>
          <w:szCs w:val="36"/>
        </w:rPr>
      </w:pPr>
    </w:p>
    <w:p>
      <w:pPr>
        <w:spacing w:after="312" w:afterLines="100" w:line="520" w:lineRule="exact"/>
        <w:ind w:firstLine="1606" w:firstLineChars="500"/>
        <w:rPr>
          <w:rFonts w:ascii="Times New Roman" w:hAnsi="Times New Roman"/>
          <w:b/>
          <w:bCs/>
          <w:color w:val="auto"/>
          <w:sz w:val="32"/>
          <w:szCs w:val="40"/>
        </w:rPr>
      </w:pPr>
      <w:r>
        <w:rPr>
          <w:rFonts w:ascii="Times New Roman" w:hAnsi="Times New Roman"/>
          <w:b/>
          <w:bCs/>
          <w:color w:val="auto"/>
          <w:sz w:val="32"/>
          <w:szCs w:val="40"/>
        </w:rPr>
        <w:t>申请企业：</w:t>
      </w:r>
      <w:r>
        <w:rPr>
          <w:rFonts w:ascii="Times New Roman" w:hAnsi="Times New Roman"/>
          <w:b/>
          <w:bCs/>
          <w:color w:val="auto"/>
          <w:sz w:val="32"/>
          <w:szCs w:val="40"/>
          <w:u w:val="single"/>
        </w:rPr>
        <w:t xml:space="preserve">                       </w:t>
      </w:r>
    </w:p>
    <w:p>
      <w:pPr>
        <w:spacing w:line="520" w:lineRule="exact"/>
        <w:ind w:firstLine="1606" w:firstLineChars="500"/>
        <w:rPr>
          <w:rFonts w:ascii="Times New Roman" w:hAnsi="Times New Roman"/>
          <w:b/>
          <w:bCs/>
          <w:color w:val="auto"/>
          <w:sz w:val="32"/>
          <w:szCs w:val="4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/>
          <w:b/>
          <w:bCs/>
          <w:color w:val="auto"/>
          <w:sz w:val="32"/>
          <w:szCs w:val="40"/>
        </w:rPr>
        <w:t xml:space="preserve">申请日期：     年     月     日 </w:t>
      </w:r>
    </w:p>
    <w:p>
      <w:pPr>
        <w:pStyle w:val="4"/>
        <w:spacing w:line="520" w:lineRule="exact"/>
        <w:jc w:val="center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企业基本信息表</w:t>
      </w:r>
    </w:p>
    <w:tbl>
      <w:tblPr>
        <w:tblStyle w:val="9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994"/>
        <w:gridCol w:w="2627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31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</w:rPr>
              <w:t>企业名称</w:t>
            </w:r>
          </w:p>
        </w:tc>
        <w:tc>
          <w:tcPr>
            <w:tcW w:w="658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31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</w:rPr>
              <w:t>统一社会信用代码</w:t>
            </w:r>
          </w:p>
        </w:tc>
        <w:tc>
          <w:tcPr>
            <w:tcW w:w="658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31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</w:rPr>
              <w:t>注册地址</w:t>
            </w:r>
          </w:p>
        </w:tc>
        <w:tc>
          <w:tcPr>
            <w:tcW w:w="658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31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</w:rPr>
              <w:t>银行账号</w:t>
            </w:r>
          </w:p>
        </w:tc>
        <w:tc>
          <w:tcPr>
            <w:tcW w:w="658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1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</w:rPr>
              <w:t>开户行名称</w:t>
            </w:r>
          </w:p>
        </w:tc>
        <w:tc>
          <w:tcPr>
            <w:tcW w:w="658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1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lang w:eastAsia="zh-CN"/>
              </w:rPr>
              <w:t>销售品类</w:t>
            </w:r>
          </w:p>
        </w:tc>
        <w:tc>
          <w:tcPr>
            <w:tcW w:w="6580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lang w:eastAsia="zh-CN"/>
              </w:rPr>
              <w:t>电动自行车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32"/>
              </w:rPr>
              <w:t xml:space="preserve">  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auto"/>
                <w:sz w:val="24"/>
                <w:szCs w:val="3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31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</w:rPr>
              <w:t>企业类型</w:t>
            </w:r>
          </w:p>
        </w:tc>
        <w:tc>
          <w:tcPr>
            <w:tcW w:w="6580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lang w:eastAsia="zh-CN"/>
              </w:rPr>
              <w:t>实体销售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lang w:eastAsia="zh-CN"/>
              </w:rPr>
              <w:t>电商平台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31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</w:rPr>
              <w:t>法定代表人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</w:p>
        </w:tc>
        <w:tc>
          <w:tcPr>
            <w:tcW w:w="262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</w:rPr>
              <w:t>企业注册地所在区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31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</w:rPr>
              <w:t>企业联系人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</w:p>
        </w:tc>
        <w:tc>
          <w:tcPr>
            <w:tcW w:w="262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</w:rPr>
              <w:t>联系电话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</w:p>
        </w:tc>
      </w:tr>
    </w:tbl>
    <w:p>
      <w:pPr>
        <w:pStyle w:val="8"/>
        <w:adjustRightInd w:val="0"/>
        <w:snapToGrid w:val="0"/>
        <w:spacing w:after="0" w:line="620" w:lineRule="exact"/>
        <w:ind w:left="0" w:leftChars="0" w:firstLine="0"/>
        <w:rPr>
          <w:rFonts w:hint="eastAsia" w:ascii="Times New Roman" w:hAnsi="Times New Roman" w:eastAsia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</w:rPr>
        <w:t>注：</w:t>
      </w:r>
      <w:r>
        <w:rPr>
          <w:rFonts w:ascii="Times New Roman" w:hAnsi="Times New Roman" w:eastAsia="仿宋_GB2312"/>
          <w:color w:val="auto"/>
          <w:sz w:val="28"/>
          <w:szCs w:val="28"/>
        </w:rPr>
        <w:t>企业名称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应与银行账号的户名一致</w:t>
      </w:r>
    </w:p>
    <w:p>
      <w:pPr>
        <w:rPr>
          <w:rFonts w:hint="eastAsia" w:ascii="Times New Roman" w:hAnsi="Times New Roman" w:eastAsia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</w:rPr>
        <w:br w:type="page"/>
      </w:r>
    </w:p>
    <w:p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>
      <w:pPr>
        <w:pStyle w:val="2"/>
        <w:spacing w:line="560" w:lineRule="exact"/>
        <w:jc w:val="center"/>
        <w:rPr>
          <w:color w:val="auto"/>
        </w:rPr>
      </w:pP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  <w:t>参与企业承诺函</w:t>
      </w:r>
    </w:p>
    <w:p>
      <w:pPr>
        <w:pStyle w:val="8"/>
        <w:adjustRightInd w:val="0"/>
        <w:snapToGrid w:val="0"/>
        <w:spacing w:after="0" w:line="560" w:lineRule="exact"/>
        <w:ind w:left="0" w:leftChars="0" w:firstLine="720" w:firstLineChars="200"/>
        <w:rPr>
          <w:rFonts w:ascii="Times New Roman" w:hAnsi="Times New Roman" w:eastAsia="仿宋_GB2312"/>
          <w:color w:val="auto"/>
          <w:sz w:val="36"/>
          <w:szCs w:val="36"/>
          <w:shd w:val="clear" w:color="auto" w:fill="FFFFFF"/>
        </w:rPr>
      </w:pPr>
    </w:p>
    <w:p>
      <w:pPr>
        <w:pStyle w:val="8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我公司自愿参加2024年广州市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加力支持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eastAsia="zh-CN"/>
        </w:rPr>
        <w:t>电动自行车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以旧换新活动，郑重承诺：</w:t>
      </w:r>
    </w:p>
    <w:p>
      <w:pPr>
        <w:pStyle w:val="8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一、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依法登记并合法存续，未被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列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入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“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严重失信主体名单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”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实施惩戒且在惩戒期内</w:t>
      </w:r>
      <w:r>
        <w:rPr>
          <w:rFonts w:hint="eastAsia" w:ascii="Times New Roman" w:hAnsi="Times New Roman" w:eastAsia="仿宋_GB2312"/>
          <w:color w:val="auto"/>
          <w:szCs w:val="32"/>
        </w:rPr>
        <w:t>，自觉抵制黄牛套利等不合规行为。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严格遵守国家、省和市加力支持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eastAsia="zh-CN"/>
        </w:rPr>
        <w:t>电动自行车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以旧换新相关法律法规和政策文件要求。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提供的申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请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材料真实、完整、有效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。</w:t>
      </w:r>
    </w:p>
    <w:p>
      <w:pPr>
        <w:pStyle w:val="12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二、按要求为消费者开具发票，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不能虚开发票，</w:t>
      </w:r>
      <w:r>
        <w:rPr>
          <w:rFonts w:hint="eastAsia" w:ascii="Times New Roman" w:hAnsi="Times New Roman"/>
          <w:color w:val="auto"/>
          <w:shd w:val="clear" w:color="auto" w:fill="FFFFFF"/>
        </w:rPr>
        <w:t>且发票包含以下全部信息：消费者姓名、身份证号码、商品信息（品类、型号、数量）、最终销售价格等信息。</w:t>
      </w:r>
    </w:p>
    <w:p>
      <w:pPr>
        <w:pStyle w:val="12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已知悉具有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上述</w:t>
      </w:r>
      <w:r>
        <w:rPr>
          <w:rFonts w:hint="eastAsia" w:ascii="Times New Roman" w:hAnsi="Times New Roman"/>
          <w:color w:val="auto"/>
          <w:shd w:val="clear" w:color="auto" w:fill="FFFFFF"/>
        </w:rPr>
        <w:t>全部信息的发票为申领应收补贴的必要条件，若因发票信息不真实、不完整等导致补贴无法兑现或收回的，自行承担所有责任。</w:t>
      </w:r>
    </w:p>
    <w:p>
      <w:pPr>
        <w:pStyle w:val="12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三、</w:t>
      </w:r>
      <w:r>
        <w:rPr>
          <w:rFonts w:ascii="Times New Roman" w:hAnsi="Times New Roman"/>
          <w:color w:val="auto"/>
          <w:shd w:val="clear" w:color="auto" w:fill="FFFFFF"/>
        </w:rPr>
        <w:t>配合开展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eastAsia="zh-CN"/>
        </w:rPr>
        <w:t>电动自行车</w:t>
      </w:r>
      <w:r>
        <w:rPr>
          <w:rFonts w:ascii="Times New Roman" w:hAnsi="Times New Roman"/>
          <w:color w:val="auto"/>
          <w:shd w:val="clear" w:color="auto" w:fill="FFFFFF"/>
        </w:rPr>
        <w:t>以旧换新宣传。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 w:color="auto"/>
          <w:lang w:val="en-US" w:eastAsia="zh-CN"/>
        </w:rPr>
        <w:t>四、出售符合国家强制性要求并实施“一车一池一充一码”溯源管理的产品，出售符合《电动自行车行业规范条件》企业生产的合格电动自行车。出售锂离子蓄电池电动自行车的，其电池还应符合《电动自行车用锂离子蓄电池安全技术规范》（GB 43854）标准要求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五、消费者在销售门店购买带牌号的新电动自行车时，须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协助消费者联系有资质的回收企业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（方案印发时公布回收企业名单）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到店办理旧电动自行车报废回收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并协助办理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旧牌号注销手续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六、消费者在销售门店购买带牌号的新电动自行车后，开具购车发票，并协助办理新电动自行车新牌号登记相关手续。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严格按照报废回收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协助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消费者在指定平台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填报废旧车辆信息，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确保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填报信息与车辆实物一致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八、协助回收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废旧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电动自行车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必须整车（含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完整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电池）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在规定时间内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交由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实施方案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指定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报废回收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九、履行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妥善保管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和负责安全的义务，对协助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回收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并暂存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废旧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电动自行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车辆，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采取有效安全措施，确保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废旧车辆转交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回收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企业处置前安全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事故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十、诚实守信，遵守有关法律法规。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协助代办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回收废旧电动自行车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待办上牌及申领补贴等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手续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过程中弄虚作假，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承担一切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法律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后果。</w:t>
      </w:r>
    </w:p>
    <w:p>
      <w:pPr>
        <w:pStyle w:val="12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十一、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服从活动安排，遵守活动规则；</w:t>
      </w:r>
      <w:r>
        <w:rPr>
          <w:rFonts w:hint="eastAsia" w:ascii="Times New Roman" w:hAnsi="Times New Roman"/>
          <w:color w:val="auto"/>
          <w:shd w:val="clear" w:color="auto" w:fill="FFFFFF"/>
        </w:rPr>
        <w:t>按照活动要求，妥善处理消费者个人私隐信息，报送活动期间本公司总销售额等数据。</w:t>
      </w:r>
    </w:p>
    <w:p>
      <w:pPr>
        <w:pStyle w:val="12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hd w:val="clear" w:color="auto" w:fill="FFFFFF"/>
        </w:rPr>
        <w:t>以上如有虚构、失实、欺诈等情况，愿意承担由此引致的全部责任和后果。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法定代表人签字：   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     承诺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ascii="Times New Roman" w:hAnsi="Times New Roman" w:eastAsia="仿宋_GB2312"/>
          <w:color w:val="auto"/>
          <w:sz w:val="32"/>
          <w:szCs w:val="32"/>
        </w:rPr>
        <w:t>：（公章）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           2024年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A2130"/>
    <w:rsid w:val="07FA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 w:afterLines="0"/>
      <w:textAlignment w:val="baseline"/>
    </w:pPr>
    <w:rPr>
      <w:rFonts w:ascii="Calibri" w:hAnsi="Calibri"/>
      <w:szCs w:val="22"/>
    </w:rPr>
  </w:style>
  <w:style w:type="paragraph" w:styleId="5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</w:rPr>
  </w:style>
  <w:style w:type="paragraph" w:styleId="6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6"/>
    <w:next w:val="1"/>
    <w:qFormat/>
    <w:uiPriority w:val="0"/>
    <w:pPr>
      <w:widowControl w:val="0"/>
      <w:spacing w:line="240" w:lineRule="auto"/>
      <w:ind w:firstLine="420"/>
    </w:pPr>
    <w:rPr>
      <w:rFonts w:ascii="Calibri" w:hAnsi="Calibri" w:eastAsia="宋体" w:cs="Times New Roman"/>
      <w:sz w:val="32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2024-09-18T08:26:00Z</dcterms:created>
  <dc:creator>Administrator</dc:creator>
  <cp:lastModifiedBy>Administrator</cp:lastModifiedBy>
  <dcterms:modified xsi:type="dcterms:W3CDTF">2024-09-18T08:26:34Z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