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关于广州500千伏傍海（番南）输变电工程项目社会稳定风险评估前公示</w:t>
      </w:r>
    </w:p>
    <w:p>
      <w:pPr>
        <w:pStyle w:val="9"/>
        <w:rPr>
          <w:rFonts w:hint="eastAsia"/>
          <w:lang w:val="en-US" w:eastAsia="zh-CN"/>
        </w:rPr>
      </w:pPr>
    </w:p>
    <w:p>
      <w:pPr>
        <w:ind w:left="0" w:leftChars="0" w:firstLine="560" w:firstLineChars="200"/>
        <w:rPr>
          <w:rFonts w:hint="eastAsia"/>
          <w:lang w:val="en-US" w:eastAsia="zh-CN"/>
        </w:rPr>
      </w:pPr>
      <w:r>
        <w:rPr>
          <w:rFonts w:hint="eastAsia"/>
          <w:lang w:val="en-US" w:eastAsia="zh-CN"/>
        </w:rPr>
        <w:t>根据《国家发展改革委重大固定资产投资项目社会稳定风险评估暂行办法的通知》（发改投资﹝2012﹞2492号）和《关于印发重大固定资产投资项目社会稳定风险分析篇章和评估报告编制大纲（试行）的通知》（发改办投资﹝2013﹞428号）等相关文件的规定，广州市番禺区发展和改革局委托广东省国际工程咨询有限公司开展广州500千伏傍海（番南）输变电工程项目社会稳定风险评估工作。为广泛听取意见，现进行公示，征求项目周边公众对项目建设实施可能引发的社会稳定风险的意见和建议。</w:t>
      </w:r>
    </w:p>
    <w:p>
      <w:pPr>
        <w:pStyle w:val="9"/>
        <w:rPr>
          <w:rFonts w:hint="eastAsia"/>
          <w:lang w:val="en-US" w:eastAsia="zh-CN"/>
        </w:rPr>
      </w:pPr>
    </w:p>
    <w:p>
      <w:pPr>
        <w:ind w:left="0" w:leftChars="0" w:firstLine="0" w:firstLineChars="0"/>
        <w:rPr>
          <w:rFonts w:hint="eastAsia" w:ascii="黑体" w:hAnsi="黑体" w:eastAsia="黑体" w:cs="黑体"/>
          <w:lang w:val="en-US" w:eastAsia="zh-CN"/>
        </w:rPr>
      </w:pPr>
      <w:r>
        <w:rPr>
          <w:rFonts w:hint="eastAsia" w:ascii="黑体" w:hAnsi="黑体" w:eastAsia="黑体" w:cs="黑体"/>
          <w:lang w:val="en-US" w:eastAsia="zh-CN"/>
        </w:rPr>
        <w:t>一、项目基本情况</w:t>
      </w:r>
    </w:p>
    <w:p>
      <w:pPr>
        <w:ind w:left="0" w:leftChars="0" w:firstLine="562" w:firstLineChars="200"/>
        <w:rPr>
          <w:rFonts w:hint="eastAsia"/>
          <w:lang w:val="en-US" w:eastAsia="zh-CN"/>
        </w:rPr>
      </w:pPr>
      <w:r>
        <w:rPr>
          <w:rFonts w:hint="eastAsia"/>
          <w:b/>
          <w:bCs/>
          <w:lang w:val="en-US" w:eastAsia="zh-CN"/>
        </w:rPr>
        <w:t>1.项目建设单位：</w:t>
      </w:r>
      <w:r>
        <w:rPr>
          <w:rFonts w:hint="eastAsia"/>
          <w:b w:val="0"/>
          <w:bCs w:val="0"/>
          <w:lang w:val="en-US" w:eastAsia="zh-CN"/>
        </w:rPr>
        <w:t>广东电网有限责任公司广州供电局</w:t>
      </w:r>
    </w:p>
    <w:p>
      <w:pPr>
        <w:ind w:left="0" w:leftChars="0" w:firstLine="562" w:firstLineChars="200"/>
        <w:rPr>
          <w:rFonts w:hint="eastAsia"/>
          <w:lang w:val="en-US" w:eastAsia="zh-CN"/>
        </w:rPr>
      </w:pPr>
      <w:r>
        <w:rPr>
          <w:rFonts w:hint="eastAsia"/>
          <w:b/>
          <w:bCs/>
          <w:lang w:val="en-US" w:eastAsia="zh-CN"/>
        </w:rPr>
        <w:t>2.项目地点：</w:t>
      </w:r>
      <w:r>
        <w:rPr>
          <w:rFonts w:hint="eastAsia"/>
          <w:b w:val="0"/>
          <w:bCs w:val="0"/>
          <w:lang w:val="en-US" w:eastAsia="zh-CN"/>
        </w:rPr>
        <w:t>广东省广州市番禺区石楼镇亚运城（南派村）</w:t>
      </w:r>
    </w:p>
    <w:p>
      <w:pPr>
        <w:ind w:left="0" w:leftChars="0" w:firstLine="562" w:firstLineChars="200"/>
        <w:rPr>
          <w:rFonts w:hint="eastAsia"/>
          <w:b w:val="0"/>
          <w:bCs w:val="0"/>
          <w:lang w:eastAsia="zh-CN"/>
        </w:rPr>
      </w:pPr>
      <w:r>
        <w:rPr>
          <w:rFonts w:hint="eastAsia"/>
          <w:b/>
          <w:bCs/>
          <w:lang w:val="en-US" w:eastAsia="zh-CN"/>
        </w:rPr>
        <w:t>3.项目建设内容与规模：</w:t>
      </w:r>
      <w:r>
        <w:rPr>
          <w:rFonts w:hint="eastAsia"/>
          <w:b w:val="0"/>
          <w:bCs w:val="0"/>
          <w:lang w:val="en-US" w:eastAsia="zh-CN"/>
        </w:rPr>
        <w:t>项目新建500千伏傍海（番南）变电站工程和线路工程。</w:t>
      </w:r>
      <w:r>
        <w:rPr>
          <w:rFonts w:hint="eastAsia"/>
          <w:b w:val="0"/>
          <w:bCs w:val="0"/>
          <w:lang w:eastAsia="zh-CN"/>
        </w:rPr>
        <w:t>（</w:t>
      </w:r>
      <w:r>
        <w:rPr>
          <w:rFonts w:hint="eastAsia"/>
          <w:b w:val="0"/>
          <w:bCs w:val="0"/>
          <w:lang w:val="en-US" w:eastAsia="zh-CN"/>
        </w:rPr>
        <w:t>1</w:t>
      </w:r>
      <w:r>
        <w:rPr>
          <w:rFonts w:hint="eastAsia"/>
          <w:b w:val="0"/>
          <w:bCs w:val="0"/>
          <w:lang w:eastAsia="zh-CN"/>
        </w:rPr>
        <w:t>）主变压器：2</w:t>
      </w:r>
      <w:r>
        <w:rPr>
          <w:rFonts w:hint="eastAsia"/>
          <w:b w:val="0"/>
          <w:bCs w:val="0"/>
          <w:lang w:val="en-US" w:eastAsia="zh-CN"/>
        </w:rPr>
        <w:t>×</w:t>
      </w:r>
      <w:r>
        <w:rPr>
          <w:rFonts w:hint="eastAsia"/>
          <w:b w:val="0"/>
          <w:bCs w:val="0"/>
          <w:lang w:eastAsia="zh-CN"/>
        </w:rPr>
        <w:t>1000MVA；（</w:t>
      </w:r>
      <w:r>
        <w:rPr>
          <w:rFonts w:hint="eastAsia"/>
          <w:b w:val="0"/>
          <w:bCs w:val="0"/>
          <w:lang w:val="en-US" w:eastAsia="zh-CN"/>
        </w:rPr>
        <w:t>2</w:t>
      </w:r>
      <w:r>
        <w:rPr>
          <w:rFonts w:hint="eastAsia"/>
          <w:b w:val="0"/>
          <w:bCs w:val="0"/>
          <w:lang w:eastAsia="zh-CN"/>
        </w:rPr>
        <w:t>）500kV出线：4回，至广南变电站2回，至狮洋变电站2回；（</w:t>
      </w:r>
      <w:r>
        <w:rPr>
          <w:rFonts w:hint="eastAsia"/>
          <w:b w:val="0"/>
          <w:bCs w:val="0"/>
          <w:lang w:val="en-US" w:eastAsia="zh-CN"/>
        </w:rPr>
        <w:t>3</w:t>
      </w:r>
      <w:r>
        <w:rPr>
          <w:rFonts w:hint="eastAsia"/>
          <w:b w:val="0"/>
          <w:bCs w:val="0"/>
          <w:lang w:eastAsia="zh-CN"/>
        </w:rPr>
        <w:t>）220kV出线：10回，分别至庆盛、番禺、亚村、瑞宝、员岗各2回；（</w:t>
      </w:r>
      <w:r>
        <w:rPr>
          <w:rFonts w:hint="eastAsia"/>
          <w:b w:val="0"/>
          <w:bCs w:val="0"/>
          <w:lang w:val="en-US" w:eastAsia="zh-CN"/>
        </w:rPr>
        <w:t>4</w:t>
      </w:r>
      <w:r>
        <w:rPr>
          <w:rFonts w:hint="eastAsia"/>
          <w:b w:val="0"/>
          <w:bCs w:val="0"/>
          <w:lang w:eastAsia="zh-CN"/>
        </w:rPr>
        <w:t>）无功补偿低压并联电容器：2</w:t>
      </w:r>
      <w:r>
        <w:rPr>
          <w:rFonts w:hint="eastAsia"/>
          <w:b w:val="0"/>
          <w:bCs w:val="0"/>
          <w:lang w:val="en-US" w:eastAsia="zh-CN"/>
        </w:rPr>
        <w:t>×</w:t>
      </w:r>
      <w:r>
        <w:rPr>
          <w:rFonts w:hint="eastAsia"/>
          <w:b w:val="0"/>
          <w:bCs w:val="0"/>
          <w:lang w:eastAsia="zh-CN"/>
        </w:rPr>
        <w:t>3</w:t>
      </w:r>
      <w:r>
        <w:rPr>
          <w:rFonts w:hint="eastAsia"/>
          <w:b w:val="0"/>
          <w:bCs w:val="0"/>
          <w:lang w:val="en-US" w:eastAsia="zh-CN"/>
        </w:rPr>
        <w:t>×</w:t>
      </w:r>
      <w:r>
        <w:rPr>
          <w:rFonts w:hint="eastAsia"/>
          <w:b w:val="0"/>
          <w:bCs w:val="0"/>
          <w:lang w:eastAsia="zh-CN"/>
        </w:rPr>
        <w:t>60MVar；（</w:t>
      </w:r>
      <w:r>
        <w:rPr>
          <w:rFonts w:hint="eastAsia"/>
          <w:b w:val="0"/>
          <w:bCs w:val="0"/>
          <w:lang w:val="en-US" w:eastAsia="zh-CN"/>
        </w:rPr>
        <w:t>5</w:t>
      </w:r>
      <w:r>
        <w:rPr>
          <w:rFonts w:hint="eastAsia"/>
          <w:b w:val="0"/>
          <w:bCs w:val="0"/>
          <w:lang w:eastAsia="zh-CN"/>
        </w:rPr>
        <w:t>）</w:t>
      </w:r>
      <w:r>
        <w:rPr>
          <w:rFonts w:hint="eastAsia"/>
          <w:b w:val="0"/>
          <w:bCs w:val="0"/>
          <w:lang w:val="en-US" w:eastAsia="zh-CN"/>
        </w:rPr>
        <w:t>线路工程1.1km，其中番南～广南新建π接段线路长约0.5km，番南～狮洋新建π接段线路长约0.6km。</w:t>
      </w:r>
    </w:p>
    <w:p>
      <w:pPr>
        <w:ind w:left="0" w:leftChars="0" w:firstLine="562" w:firstLineChars="200"/>
        <w:rPr>
          <w:rFonts w:hint="eastAsia" w:ascii="Times New Roman" w:hAnsi="Times New Roman"/>
          <w:szCs w:val="22"/>
          <w:lang w:val="en-US" w:eastAsia="zh-CN"/>
        </w:rPr>
      </w:pPr>
      <w:r>
        <w:rPr>
          <w:rFonts w:hint="eastAsia" w:ascii="Times New Roman" w:hAnsi="Times New Roman"/>
          <w:b/>
          <w:bCs/>
          <w:szCs w:val="22"/>
          <w:lang w:val="en-US" w:eastAsia="zh-CN"/>
        </w:rPr>
        <w:t>4.项目总投资：</w:t>
      </w:r>
      <w:r>
        <w:rPr>
          <w:rFonts w:hint="eastAsia" w:ascii="Times New Roman" w:hAnsi="Times New Roman"/>
          <w:szCs w:val="22"/>
          <w:lang w:val="en-US" w:eastAsia="zh-CN"/>
        </w:rPr>
        <w:t>总投资约52784万元。</w:t>
      </w:r>
    </w:p>
    <w:p>
      <w:pPr>
        <w:pStyle w:val="2"/>
        <w:ind w:left="0" w:leftChars="0" w:firstLine="0" w:firstLineChars="0"/>
        <w:rPr>
          <w:rFonts w:hint="eastAsia"/>
          <w:lang w:val="en-US" w:eastAsia="zh-CN"/>
        </w:rPr>
      </w:pPr>
      <w:r>
        <w:rPr>
          <w:rFonts w:hint="eastAsia"/>
          <w:lang w:val="en-US" w:eastAsia="zh-CN"/>
        </w:rPr>
        <w:drawing>
          <wp:inline distT="0" distB="0" distL="114300" distR="114300">
            <wp:extent cx="8364220" cy="5015865"/>
            <wp:effectExtent l="0" t="0" r="5080" b="635"/>
            <wp:docPr id="1" name="图片 1" descr="6ca2b557e7d7e685a47ea9a2b593e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ca2b557e7d7e685a47ea9a2b593e1f"/>
                    <pic:cNvPicPr>
                      <a:picLocks noChangeAspect="1"/>
                    </pic:cNvPicPr>
                  </pic:nvPicPr>
                  <pic:blipFill>
                    <a:blip r:embed="rId6"/>
                    <a:stretch>
                      <a:fillRect/>
                    </a:stretch>
                  </pic:blipFill>
                  <pic:spPr>
                    <a:xfrm>
                      <a:off x="0" y="0"/>
                      <a:ext cx="8364220" cy="5015865"/>
                    </a:xfrm>
                    <a:prstGeom prst="rect">
                      <a:avLst/>
                    </a:prstGeom>
                  </pic:spPr>
                </pic:pic>
              </a:graphicData>
            </a:graphic>
          </wp:inline>
        </w:drawing>
      </w:r>
    </w:p>
    <w:p>
      <w:pPr>
        <w:pStyle w:val="9"/>
        <w:ind w:left="0" w:lef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图一  项目建设位置图</w:t>
      </w:r>
    </w:p>
    <w:p>
      <w:pPr>
        <w:ind w:left="0" w:leftChars="0" w:firstLine="0" w:firstLineChars="0"/>
        <w:rPr>
          <w:rFonts w:hint="eastAsia" w:ascii="黑体" w:hAnsi="黑体" w:eastAsia="黑体" w:cs="黑体"/>
          <w:b w:val="0"/>
          <w:bCs w:val="0"/>
          <w:lang w:val="en-US" w:eastAsia="zh-CN"/>
        </w:rPr>
      </w:pPr>
      <w:r>
        <w:rPr>
          <w:rFonts w:hint="eastAsia" w:ascii="黑体" w:hAnsi="黑体" w:eastAsia="黑体" w:cs="黑体"/>
          <w:b w:val="0"/>
          <w:bCs w:val="0"/>
          <w:lang w:val="en-US" w:eastAsia="zh-CN"/>
        </w:rPr>
        <w:t>二、征求公众意见范围及主要事项</w:t>
      </w:r>
    </w:p>
    <w:p>
      <w:pPr>
        <w:ind w:left="0" w:leftChars="0" w:firstLine="560" w:firstLineChars="200"/>
        <w:rPr>
          <w:rFonts w:hint="default"/>
          <w:lang w:val="en-US" w:eastAsia="zh-CN"/>
        </w:rPr>
      </w:pPr>
      <w:r>
        <w:rPr>
          <w:rFonts w:hint="default"/>
          <w:lang w:val="en-US" w:eastAsia="zh-CN"/>
        </w:rPr>
        <w:t>公示对象为项目周边群众、企事业单位和社会团体。</w:t>
      </w:r>
    </w:p>
    <w:p>
      <w:pPr>
        <w:ind w:left="0" w:leftChars="0" w:firstLine="560" w:firstLineChars="200"/>
        <w:rPr>
          <w:rFonts w:hint="default"/>
          <w:lang w:val="en-US" w:eastAsia="zh-CN"/>
        </w:rPr>
      </w:pPr>
      <w:r>
        <w:rPr>
          <w:rFonts w:hint="default"/>
          <w:lang w:val="en-US" w:eastAsia="zh-CN"/>
        </w:rPr>
        <w:t>征求各方面对项目建设实施及社会稳定风险评估工作的意见和建议。</w:t>
      </w:r>
    </w:p>
    <w:p>
      <w:pPr>
        <w:pStyle w:val="9"/>
        <w:rPr>
          <w:rFonts w:hint="default"/>
          <w:lang w:val="en-US" w:eastAsia="zh-CN"/>
        </w:rPr>
      </w:pPr>
    </w:p>
    <w:p>
      <w:pPr>
        <w:ind w:left="0" w:leftChars="0" w:firstLine="0" w:firstLineChars="0"/>
        <w:rPr>
          <w:rFonts w:hint="eastAsia" w:ascii="黑体" w:hAnsi="黑体" w:eastAsia="黑体" w:cs="黑体"/>
          <w:lang w:val="en-US" w:eastAsia="zh-CN"/>
        </w:rPr>
      </w:pPr>
      <w:r>
        <w:rPr>
          <w:rFonts w:hint="eastAsia" w:ascii="黑体" w:hAnsi="黑体" w:eastAsia="黑体" w:cs="黑体"/>
          <w:lang w:val="en-US" w:eastAsia="zh-CN"/>
        </w:rPr>
        <w:t>三、公示期</w:t>
      </w:r>
    </w:p>
    <w:p>
      <w:pPr>
        <w:ind w:left="0" w:leftChars="0" w:firstLine="560" w:firstLineChars="200"/>
        <w:rPr>
          <w:rFonts w:hint="default"/>
          <w:lang w:val="en-US" w:eastAsia="zh-CN"/>
        </w:rPr>
      </w:pPr>
      <w:r>
        <w:rPr>
          <w:rFonts w:hint="default"/>
          <w:lang w:val="en-US" w:eastAsia="zh-CN"/>
        </w:rPr>
        <w:t>202</w:t>
      </w:r>
      <w:r>
        <w:rPr>
          <w:rFonts w:hint="eastAsia"/>
          <w:lang w:val="en-US" w:eastAsia="zh-CN"/>
        </w:rPr>
        <w:t>4</w:t>
      </w:r>
      <w:r>
        <w:rPr>
          <w:rFonts w:hint="default"/>
          <w:lang w:val="en-US" w:eastAsia="zh-CN"/>
        </w:rPr>
        <w:t>年</w:t>
      </w:r>
      <w:r>
        <w:rPr>
          <w:rFonts w:hint="eastAsia"/>
          <w:lang w:val="en-US" w:eastAsia="zh-CN"/>
        </w:rPr>
        <w:t>5</w:t>
      </w:r>
      <w:r>
        <w:rPr>
          <w:rFonts w:hint="default"/>
          <w:lang w:val="en-US" w:eastAsia="zh-CN"/>
        </w:rPr>
        <w:t>月</w:t>
      </w:r>
      <w:r>
        <w:rPr>
          <w:rFonts w:hint="eastAsia"/>
          <w:lang w:val="en-US" w:eastAsia="zh-CN"/>
        </w:rPr>
        <w:t>27</w:t>
      </w:r>
      <w:r>
        <w:rPr>
          <w:rFonts w:hint="default"/>
          <w:lang w:val="en-US" w:eastAsia="zh-CN"/>
        </w:rPr>
        <w:t>日至202</w:t>
      </w:r>
      <w:r>
        <w:rPr>
          <w:rFonts w:hint="eastAsia"/>
          <w:lang w:val="en-US" w:eastAsia="zh-CN"/>
        </w:rPr>
        <w:t>4</w:t>
      </w:r>
      <w:r>
        <w:rPr>
          <w:rFonts w:hint="default"/>
          <w:lang w:val="en-US" w:eastAsia="zh-CN"/>
        </w:rPr>
        <w:t>年</w:t>
      </w:r>
      <w:r>
        <w:rPr>
          <w:rFonts w:hint="eastAsia"/>
          <w:lang w:val="en-US" w:eastAsia="zh-CN"/>
        </w:rPr>
        <w:t>6</w:t>
      </w:r>
      <w:r>
        <w:rPr>
          <w:rFonts w:hint="default"/>
          <w:lang w:val="en-US" w:eastAsia="zh-CN"/>
        </w:rPr>
        <w:t>月</w:t>
      </w:r>
      <w:r>
        <w:rPr>
          <w:rFonts w:hint="eastAsia"/>
          <w:lang w:val="en-US" w:eastAsia="zh-CN"/>
        </w:rPr>
        <w:t>2</w:t>
      </w:r>
      <w:bookmarkStart w:id="0" w:name="_GoBack"/>
      <w:bookmarkEnd w:id="0"/>
      <w:r>
        <w:rPr>
          <w:rFonts w:hint="default"/>
          <w:lang w:val="en-US" w:eastAsia="zh-CN"/>
        </w:rPr>
        <w:t>日（共</w:t>
      </w:r>
      <w:r>
        <w:rPr>
          <w:rFonts w:hint="eastAsia"/>
          <w:lang w:val="en-US" w:eastAsia="zh-CN"/>
        </w:rPr>
        <w:t>7</w:t>
      </w:r>
      <w:r>
        <w:rPr>
          <w:rFonts w:hint="default"/>
          <w:lang w:val="en-US" w:eastAsia="zh-CN"/>
        </w:rPr>
        <w:t>个</w:t>
      </w:r>
      <w:r>
        <w:rPr>
          <w:rFonts w:hint="eastAsia"/>
          <w:lang w:val="en-US" w:eastAsia="zh-CN"/>
        </w:rPr>
        <w:t>日历天</w:t>
      </w:r>
      <w:r>
        <w:rPr>
          <w:rFonts w:hint="default"/>
          <w:lang w:val="en-US" w:eastAsia="zh-CN"/>
        </w:rPr>
        <w:t>）。</w:t>
      </w:r>
    </w:p>
    <w:p>
      <w:pPr>
        <w:pStyle w:val="9"/>
        <w:rPr>
          <w:rFonts w:hint="default"/>
          <w:lang w:val="en-US" w:eastAsia="zh-CN"/>
        </w:rPr>
      </w:pPr>
    </w:p>
    <w:p>
      <w:pPr>
        <w:ind w:left="0" w:leftChars="0" w:firstLine="0" w:firstLineChars="0"/>
        <w:rPr>
          <w:rFonts w:hint="eastAsia" w:ascii="黑体" w:hAnsi="黑体" w:eastAsia="黑体" w:cs="黑体"/>
          <w:lang w:val="en-US" w:eastAsia="zh-CN"/>
        </w:rPr>
      </w:pPr>
      <w:r>
        <w:rPr>
          <w:rFonts w:hint="eastAsia" w:ascii="黑体" w:hAnsi="黑体" w:eastAsia="黑体" w:cs="黑体"/>
          <w:lang w:val="en-US" w:eastAsia="zh-CN"/>
        </w:rPr>
        <w:t>四、征求公众意见的具体形式</w:t>
      </w:r>
    </w:p>
    <w:p>
      <w:pPr>
        <w:ind w:left="0" w:leftChars="0" w:firstLine="560" w:firstLineChars="200"/>
        <w:rPr>
          <w:rFonts w:hint="default"/>
          <w:lang w:val="en-US" w:eastAsia="zh-CN"/>
        </w:rPr>
      </w:pPr>
      <w:r>
        <w:rPr>
          <w:rFonts w:hint="default"/>
          <w:lang w:val="en-US" w:eastAsia="zh-CN"/>
        </w:rPr>
        <w:t>公示期内，受项目建设实施影响的居民群众、企事业单位和社会团体等可通过电子邮件、信函、电话等方式向社会稳定风险评估咨询机构阐述个人的意见和建议。</w:t>
      </w:r>
    </w:p>
    <w:p>
      <w:pPr>
        <w:pStyle w:val="9"/>
        <w:rPr>
          <w:rFonts w:hint="default"/>
          <w:lang w:val="en-US" w:eastAsia="zh-CN"/>
        </w:rPr>
      </w:pPr>
    </w:p>
    <w:p>
      <w:pPr>
        <w:ind w:left="0" w:leftChars="0" w:firstLine="560" w:firstLineChars="200"/>
        <w:rPr>
          <w:rFonts w:hint="default"/>
          <w:lang w:val="en-US" w:eastAsia="zh-CN"/>
        </w:rPr>
      </w:pPr>
      <w:r>
        <w:rPr>
          <w:rFonts w:hint="default"/>
          <w:lang w:val="en-US" w:eastAsia="zh-CN"/>
        </w:rPr>
        <w:t>社会稳定风险评估咨询服务机构：广东省国际工程咨询有限公司</w:t>
      </w:r>
    </w:p>
    <w:p>
      <w:pPr>
        <w:ind w:left="0" w:leftChars="0" w:firstLine="560" w:firstLineChars="200"/>
        <w:rPr>
          <w:rFonts w:hint="default"/>
          <w:lang w:val="en-US" w:eastAsia="zh-CN"/>
        </w:rPr>
      </w:pPr>
      <w:r>
        <w:rPr>
          <w:rFonts w:hint="default"/>
          <w:lang w:val="en-US" w:eastAsia="zh-CN"/>
        </w:rPr>
        <w:t>联系地址：广东省广州市越秀区环市中路316号金鹰大厦</w:t>
      </w:r>
      <w:r>
        <w:rPr>
          <w:rFonts w:hint="eastAsia"/>
          <w:lang w:val="en-US" w:eastAsia="zh-CN"/>
        </w:rPr>
        <w:t>13</w:t>
      </w:r>
      <w:r>
        <w:rPr>
          <w:rFonts w:hint="default"/>
          <w:lang w:val="en-US" w:eastAsia="zh-CN"/>
        </w:rPr>
        <w:t>楼</w:t>
      </w:r>
    </w:p>
    <w:p>
      <w:pPr>
        <w:ind w:left="0" w:leftChars="0" w:firstLine="560" w:firstLineChars="200"/>
        <w:rPr>
          <w:rFonts w:hint="default"/>
          <w:lang w:val="en-US" w:eastAsia="zh-CN"/>
        </w:rPr>
      </w:pPr>
      <w:r>
        <w:rPr>
          <w:rFonts w:hint="default"/>
          <w:lang w:val="en-US" w:eastAsia="zh-CN"/>
        </w:rPr>
        <w:t>联系人：</w:t>
      </w:r>
      <w:r>
        <w:rPr>
          <w:rFonts w:hint="eastAsia"/>
          <w:lang w:val="en-US" w:eastAsia="zh-CN"/>
        </w:rPr>
        <w:t>何</w:t>
      </w:r>
      <w:r>
        <w:rPr>
          <w:rFonts w:hint="default"/>
          <w:lang w:val="en-US" w:eastAsia="zh-CN"/>
        </w:rPr>
        <w:t>工</w:t>
      </w:r>
    </w:p>
    <w:p>
      <w:pPr>
        <w:ind w:left="0" w:leftChars="0" w:firstLine="560" w:firstLineChars="200"/>
        <w:rPr>
          <w:rFonts w:hint="default"/>
          <w:lang w:val="en-US" w:eastAsia="zh-CN"/>
        </w:rPr>
      </w:pPr>
      <w:r>
        <w:rPr>
          <w:rFonts w:hint="default"/>
          <w:lang w:val="en-US" w:eastAsia="zh-CN"/>
        </w:rPr>
        <w:t>电话：020-</w:t>
      </w:r>
      <w:r>
        <w:rPr>
          <w:rFonts w:hint="eastAsia"/>
          <w:lang w:val="en-US" w:eastAsia="zh-CN"/>
        </w:rPr>
        <w:t>83555197</w:t>
      </w:r>
    </w:p>
    <w:p>
      <w:pPr>
        <w:ind w:left="0" w:leftChars="0" w:firstLine="560" w:firstLineChars="200"/>
        <w:rPr>
          <w:rFonts w:hint="default"/>
          <w:lang w:val="en-US" w:eastAsia="zh-CN"/>
        </w:rPr>
      </w:pPr>
      <w:r>
        <w:rPr>
          <w:rFonts w:hint="default"/>
          <w:lang w:val="en-US" w:eastAsia="zh-CN"/>
        </w:rPr>
        <w:t>传真：020-83555197</w:t>
      </w:r>
    </w:p>
    <w:p>
      <w:pPr>
        <w:ind w:left="0" w:leftChars="0" w:firstLine="560" w:firstLineChars="200"/>
        <w:rPr>
          <w:rFonts w:hint="default"/>
          <w:lang w:val="en-US" w:eastAsia="zh-CN"/>
        </w:rPr>
      </w:pPr>
      <w:r>
        <w:rPr>
          <w:rFonts w:hint="default"/>
          <w:lang w:val="en-US" w:eastAsia="zh-CN"/>
        </w:rPr>
        <w:t>电子邮箱：</w:t>
      </w:r>
      <w:r>
        <w:rPr>
          <w:rFonts w:hint="eastAsia"/>
          <w:lang w:val="en-US" w:eastAsia="zh-CN"/>
        </w:rPr>
        <w:t>gdiecc6</w:t>
      </w:r>
      <w:r>
        <w:rPr>
          <w:rFonts w:hint="default"/>
          <w:lang w:val="en-US" w:eastAsia="zh-CN"/>
        </w:rPr>
        <w:t>@1</w:t>
      </w:r>
      <w:r>
        <w:rPr>
          <w:rFonts w:hint="eastAsia"/>
          <w:lang w:val="en-US" w:eastAsia="zh-CN"/>
        </w:rPr>
        <w:t>26.</w:t>
      </w:r>
      <w:r>
        <w:rPr>
          <w:rFonts w:hint="default"/>
          <w:lang w:val="en-US" w:eastAsia="zh-CN"/>
        </w:rPr>
        <w:t>com</w:t>
      </w:r>
    </w:p>
    <w:p>
      <w:pPr>
        <w:ind w:left="0" w:leftChars="0" w:firstLine="0" w:firstLineChars="0"/>
        <w:rPr>
          <w:rFonts w:hint="default"/>
          <w:lang w:val="en-US" w:eastAsia="zh-CN"/>
        </w:rPr>
      </w:pPr>
    </w:p>
    <w:p>
      <w:pPr>
        <w:pStyle w:val="9"/>
        <w:rPr>
          <w:rFonts w:hint="default"/>
          <w:lang w:val="en-US" w:eastAsia="zh-CN"/>
        </w:rPr>
      </w:pPr>
    </w:p>
    <w:p>
      <w:pPr>
        <w:rPr>
          <w:rFonts w:hint="default"/>
          <w:lang w:val="en-US" w:eastAsia="zh-CN"/>
        </w:rPr>
      </w:pPr>
    </w:p>
    <w:p>
      <w:pPr>
        <w:ind w:left="0" w:leftChars="0" w:firstLine="0" w:firstLineChars="0"/>
        <w:rPr>
          <w:rFonts w:hint="default"/>
          <w:lang w:val="en-US" w:eastAsia="zh-CN"/>
        </w:rPr>
      </w:pPr>
    </w:p>
    <w:sectPr>
      <w:pgSz w:w="16783" w:h="23757"/>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E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mZGU3OWRiMmM5MzE5Y2MwZWQyMTlmZGM0YjNhYjUifQ=="/>
  </w:docVars>
  <w:rsids>
    <w:rsidRoot w:val="71FE4F41"/>
    <w:rsid w:val="00F14AE0"/>
    <w:rsid w:val="040D2228"/>
    <w:rsid w:val="054E6291"/>
    <w:rsid w:val="064B20BB"/>
    <w:rsid w:val="088D4509"/>
    <w:rsid w:val="0D390312"/>
    <w:rsid w:val="135843C4"/>
    <w:rsid w:val="155E3572"/>
    <w:rsid w:val="15E41E23"/>
    <w:rsid w:val="16603497"/>
    <w:rsid w:val="198B6402"/>
    <w:rsid w:val="207F1A3B"/>
    <w:rsid w:val="20BB3C5C"/>
    <w:rsid w:val="24E66EA7"/>
    <w:rsid w:val="250A2F4C"/>
    <w:rsid w:val="25DE2289"/>
    <w:rsid w:val="27A8712A"/>
    <w:rsid w:val="2990057B"/>
    <w:rsid w:val="336A12C5"/>
    <w:rsid w:val="362176F6"/>
    <w:rsid w:val="36E30F2C"/>
    <w:rsid w:val="37527F37"/>
    <w:rsid w:val="3A9B6A5C"/>
    <w:rsid w:val="3E261814"/>
    <w:rsid w:val="3FEC5B61"/>
    <w:rsid w:val="40B8629B"/>
    <w:rsid w:val="40CE13E2"/>
    <w:rsid w:val="446946E3"/>
    <w:rsid w:val="46296310"/>
    <w:rsid w:val="4BCA5316"/>
    <w:rsid w:val="50502721"/>
    <w:rsid w:val="572F025A"/>
    <w:rsid w:val="5749340A"/>
    <w:rsid w:val="59361D9A"/>
    <w:rsid w:val="5A891AF3"/>
    <w:rsid w:val="5BDB057C"/>
    <w:rsid w:val="62FC33DB"/>
    <w:rsid w:val="669C779B"/>
    <w:rsid w:val="6722301E"/>
    <w:rsid w:val="685E6FB1"/>
    <w:rsid w:val="6951693C"/>
    <w:rsid w:val="6A25405A"/>
    <w:rsid w:val="6B934996"/>
    <w:rsid w:val="6CD333CB"/>
    <w:rsid w:val="712C6523"/>
    <w:rsid w:val="71FE4F41"/>
    <w:rsid w:val="734B5B89"/>
    <w:rsid w:val="73833CED"/>
    <w:rsid w:val="74897568"/>
    <w:rsid w:val="7B487220"/>
    <w:rsid w:val="7E3B2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4"/>
    <w:qFormat/>
    <w:uiPriority w:val="0"/>
    <w:pPr>
      <w:ind w:firstLine="880" w:firstLineChars="200"/>
      <w:jc w:val="both"/>
    </w:pPr>
    <w:rPr>
      <w:rFonts w:ascii="Times New Roman" w:hAnsi="Times New Roman" w:eastAsia="仿宋_GB2312" w:cstheme="minorBidi"/>
      <w:kern w:val="2"/>
      <w:sz w:val="28"/>
    </w:rPr>
  </w:style>
  <w:style w:type="paragraph" w:styleId="3">
    <w:name w:val="heading 1"/>
    <w:basedOn w:val="1"/>
    <w:next w:val="1"/>
    <w:qFormat/>
    <w:uiPriority w:val="0"/>
    <w:pPr>
      <w:keepNext/>
      <w:keepLines/>
      <w:spacing w:before="200" w:beforeLines="200" w:after="200" w:afterLines="200" w:line="240" w:lineRule="auto"/>
      <w:ind w:firstLine="0" w:firstLineChars="0"/>
      <w:jc w:val="center"/>
      <w:outlineLvl w:val="0"/>
    </w:pPr>
    <w:rPr>
      <w:rFonts w:ascii="Times New Roman" w:hAnsi="Times New Roman" w:eastAsia="黑体" w:cs="Times New Roman"/>
      <w:bCs/>
      <w:kern w:val="44"/>
      <w:sz w:val="32"/>
      <w:szCs w:val="44"/>
    </w:rPr>
  </w:style>
  <w:style w:type="paragraph" w:styleId="4">
    <w:name w:val="heading 2"/>
    <w:basedOn w:val="1"/>
    <w:next w:val="1"/>
    <w:link w:val="13"/>
    <w:semiHidden/>
    <w:unhideWhenUsed/>
    <w:qFormat/>
    <w:uiPriority w:val="0"/>
    <w:pPr>
      <w:keepNext/>
      <w:keepLines/>
      <w:pBdr>
        <w:top w:val="none" w:color="auto" w:sz="0" w:space="1"/>
        <w:left w:val="none" w:color="auto" w:sz="0" w:space="4"/>
        <w:bottom w:val="none" w:color="auto" w:sz="0" w:space="1"/>
        <w:right w:val="none" w:color="auto" w:sz="0" w:space="4"/>
      </w:pBdr>
      <w:spacing w:before="50" w:beforeLines="50" w:after="50" w:afterLines="50"/>
      <w:ind w:firstLine="0" w:firstLineChars="0"/>
      <w:outlineLvl w:val="1"/>
    </w:pPr>
    <w:rPr>
      <w:rFonts w:ascii="Times New Roman" w:hAnsi="Times New Roman" w:eastAsia="黑体"/>
      <w:bCs/>
      <w:color w:val="000000"/>
      <w:szCs w:val="32"/>
      <w:u w:val="none"/>
      <w:lang w:eastAsia="en-US" w:bidi="en-US"/>
    </w:rPr>
  </w:style>
  <w:style w:type="paragraph" w:styleId="5">
    <w:name w:val="heading 3"/>
    <w:basedOn w:val="1"/>
    <w:next w:val="1"/>
    <w:semiHidden/>
    <w:unhideWhenUsed/>
    <w:qFormat/>
    <w:uiPriority w:val="0"/>
    <w:pPr>
      <w:keepNext/>
      <w:keepLines/>
      <w:spacing w:before="20" w:after="20" w:line="240" w:lineRule="auto"/>
      <w:ind w:firstLine="0" w:firstLineChars="0"/>
      <w:outlineLvl w:val="2"/>
    </w:pPr>
    <w:rPr>
      <w:rFonts w:ascii="Times New Roman" w:hAnsi="Times New Roman" w:eastAsia="黑体" w:cs="Times New Roman"/>
      <w:bCs/>
      <w:sz w:val="28"/>
      <w:szCs w:val="32"/>
    </w:rPr>
  </w:style>
  <w:style w:type="paragraph" w:styleId="6">
    <w:name w:val="heading 4"/>
    <w:basedOn w:val="1"/>
    <w:next w:val="1"/>
    <w:semiHidden/>
    <w:unhideWhenUsed/>
    <w:qFormat/>
    <w:uiPriority w:val="0"/>
    <w:pPr>
      <w:keepNext/>
      <w:keepLines/>
      <w:spacing w:before="120" w:beforeLines="0" w:beforeAutospacing="0" w:after="120" w:afterLines="0" w:afterAutospacing="0" w:line="240" w:lineRule="auto"/>
      <w:outlineLvl w:val="3"/>
    </w:pPr>
    <w:rPr>
      <w:rFonts w:ascii="Arial" w:hAnsi="Arial"/>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Plain Text"/>
    <w:basedOn w:val="1"/>
    <w:next w:val="1"/>
    <w:qFormat/>
    <w:uiPriority w:val="0"/>
    <w:rPr>
      <w:rFonts w:hint="eastAsia" w:hAnsi="Courier New" w:cs="Courier New"/>
      <w:szCs w:val="21"/>
    </w:rPr>
  </w:style>
  <w:style w:type="paragraph" w:styleId="7">
    <w:name w:val="Body Text"/>
    <w:basedOn w:val="1"/>
    <w:qFormat/>
    <w:uiPriority w:val="0"/>
    <w:pPr>
      <w:spacing w:after="120" w:afterLines="0" w:afterAutospacing="0"/>
    </w:pPr>
  </w:style>
  <w:style w:type="paragraph" w:styleId="8">
    <w:name w:val="toc 1"/>
    <w:basedOn w:val="1"/>
    <w:next w:val="1"/>
    <w:qFormat/>
    <w:uiPriority w:val="0"/>
    <w:pPr>
      <w:tabs>
        <w:tab w:val="left" w:pos="1050"/>
        <w:tab w:val="right" w:leader="dot" w:pos="9350"/>
      </w:tabs>
      <w:spacing w:line="240" w:lineRule="auto"/>
      <w:ind w:firstLine="0" w:firstLineChars="0"/>
      <w:jc w:val="left"/>
    </w:pPr>
    <w:rPr>
      <w:rFonts w:ascii="楷体_GB2312" w:hAnsi="楷体_GB2312" w:eastAsia="黑体"/>
      <w:b/>
      <w:bCs/>
      <w:kern w:val="0"/>
      <w:szCs w:val="32"/>
    </w:rPr>
  </w:style>
  <w:style w:type="paragraph" w:styleId="9">
    <w:name w:val="toc 2"/>
    <w:basedOn w:val="1"/>
    <w:next w:val="1"/>
    <w:qFormat/>
    <w:uiPriority w:val="0"/>
    <w:pPr>
      <w:spacing w:line="240" w:lineRule="auto"/>
      <w:ind w:left="420" w:leftChars="200"/>
    </w:pPr>
    <w:rPr>
      <w:rFonts w:ascii="Calibri" w:hAnsi="Calibri" w:eastAsia="仿宋_GB2312"/>
      <w:szCs w:val="2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13">
    <w:name w:val="标题 2 字符"/>
    <w:link w:val="4"/>
    <w:qFormat/>
    <w:uiPriority w:val="99"/>
    <w:rPr>
      <w:rFonts w:ascii="Times New Roman" w:hAnsi="Times New Roman" w:eastAsia="黑体" w:cs="Times New Roman"/>
      <w:bCs/>
      <w:color w:val="000000"/>
      <w:sz w:val="28"/>
      <w:szCs w:val="32"/>
      <w:u w:val="none"/>
      <w:lang w:eastAsia="en-US" w:bidi="en-US"/>
    </w:rPr>
  </w:style>
  <w:style w:type="character" w:customStyle="1" w:styleId="14">
    <w:name w:val="NormalCharacter"/>
    <w:link w:val="1"/>
    <w:semiHidden/>
    <w:qFormat/>
    <w:uiPriority w:val="0"/>
    <w:rPr>
      <w:rFonts w:ascii="Times New Roman" w:hAnsi="Times New Roman" w:eastAsia="仿宋_GB2312" w:cstheme="minorBidi"/>
      <w:kern w:val="2"/>
      <w:sz w:val="2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787</Words>
  <Characters>891</Characters>
  <Lines>0</Lines>
  <Paragraphs>0</Paragraphs>
  <TotalTime>131</TotalTime>
  <ScaleCrop>false</ScaleCrop>
  <LinksUpToDate>false</LinksUpToDate>
  <CharactersWithSpaces>893</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2022-01-20T07:41:00Z</dcterms:created>
  <dc:creator>Bingo</dc:creator>
  <cp:lastModifiedBy>黄</cp:lastModifiedBy>
  <dcterms:modified xsi:type="dcterms:W3CDTF">2024-05-24T11:25:57Z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C434CA16CD7F4A25B59DE7F54365159A_12</vt:lpwstr>
  </property>
</Properties>
</file>