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left="-272" w:leftChars="-85" w:right="-234" w:rightChars="-73"/>
        <w:rPr>
          <w:rFonts w:hint="eastAsia" w:ascii="黑体" w:hAnsi="黑体" w:eastAsia="黑体"/>
          <w:sz w:val="32"/>
          <w:szCs w:val="32"/>
          <w:lang w:eastAsia="zh-CN"/>
        </w:rPr>
      </w:pPr>
      <w:r>
        <w:rPr>
          <w:rFonts w:hint="eastAsia" w:ascii="黑体" w:hAnsi="黑体" w:eastAsia="黑体"/>
          <w:sz w:val="32"/>
          <w:szCs w:val="32"/>
        </w:rPr>
        <w:t>附件</w:t>
      </w:r>
      <w:r>
        <w:rPr>
          <w:rFonts w:hint="eastAsia" w:ascii="黑体" w:hAnsi="黑体" w:eastAsia="黑体"/>
          <w:sz w:val="32"/>
          <w:szCs w:val="32"/>
          <w:lang w:val="en-US" w:eastAsia="zh-CN"/>
        </w:rPr>
        <w:t>2</w:t>
      </w:r>
    </w:p>
    <w:p>
      <w:pPr>
        <w:spacing w:line="560" w:lineRule="exact"/>
        <w:ind w:left="-272" w:leftChars="-85" w:right="-234" w:rightChars="-73"/>
        <w:rPr>
          <w:rFonts w:hint="eastAsia" w:ascii="黑体" w:hAnsi="黑体" w:eastAsia="黑体"/>
          <w:sz w:val="32"/>
          <w:szCs w:val="32"/>
        </w:rPr>
      </w:pPr>
    </w:p>
    <w:p>
      <w:pPr>
        <w:spacing w:line="560" w:lineRule="exact"/>
        <w:ind w:left="-272" w:leftChars="-85" w:right="-234" w:rightChars="-73"/>
        <w:jc w:val="center"/>
        <w:rPr>
          <w:rFonts w:hint="eastAsia" w:ascii="方正小标宋_GBK" w:eastAsia="方正小标宋_GBK"/>
          <w:sz w:val="44"/>
          <w:szCs w:val="44"/>
        </w:rPr>
      </w:pPr>
      <w:bookmarkStart w:id="0" w:name="_GoBack"/>
      <w:r>
        <w:rPr>
          <w:rFonts w:hint="eastAsia" w:ascii="方正小标宋_GBK" w:eastAsia="方正小标宋_GBK"/>
          <w:sz w:val="44"/>
          <w:szCs w:val="44"/>
        </w:rPr>
        <w:t>广州市</w:t>
      </w:r>
      <w:r>
        <w:rPr>
          <w:rFonts w:hint="eastAsia" w:ascii="方正小标宋_GBK" w:eastAsia="方正小标宋_GBK"/>
          <w:sz w:val="44"/>
          <w:szCs w:val="44"/>
          <w:lang w:eastAsia="zh-CN"/>
        </w:rPr>
        <w:t>番禺区公安分局</w:t>
      </w:r>
      <w:r>
        <w:rPr>
          <w:rFonts w:hint="eastAsia" w:ascii="方正小标宋_GBK" w:eastAsia="方正小标宋_GBK"/>
          <w:sz w:val="44"/>
          <w:szCs w:val="44"/>
        </w:rPr>
        <w:t>20</w:t>
      </w:r>
      <w:r>
        <w:rPr>
          <w:rFonts w:hint="eastAsia" w:ascii="方正小标宋_GBK" w:eastAsia="方正小标宋_GBK"/>
          <w:sz w:val="44"/>
          <w:szCs w:val="44"/>
          <w:lang w:val="en-US" w:eastAsia="zh-CN"/>
        </w:rPr>
        <w:t>23</w:t>
      </w:r>
      <w:r>
        <w:rPr>
          <w:rFonts w:hint="eastAsia" w:ascii="方正小标宋_GBK" w:eastAsia="方正小标宋_GBK"/>
          <w:sz w:val="44"/>
          <w:szCs w:val="44"/>
        </w:rPr>
        <w:t>年度行政许可</w:t>
      </w:r>
    </w:p>
    <w:p>
      <w:pPr>
        <w:spacing w:line="560" w:lineRule="exact"/>
        <w:ind w:left="-272" w:leftChars="-85" w:right="-234" w:rightChars="-73"/>
        <w:jc w:val="center"/>
        <w:rPr>
          <w:rFonts w:hint="eastAsia" w:ascii="方正小标宋_GBK" w:eastAsia="方正小标宋_GBK"/>
          <w:sz w:val="44"/>
          <w:szCs w:val="44"/>
        </w:rPr>
      </w:pPr>
      <w:r>
        <w:rPr>
          <w:rFonts w:hint="eastAsia" w:ascii="方正小标宋_GBK" w:eastAsia="方正小标宋_GBK"/>
          <w:sz w:val="44"/>
          <w:szCs w:val="44"/>
        </w:rPr>
        <w:t>实施和监督管理情况报告</w:t>
      </w:r>
      <w:bookmarkEnd w:id="0"/>
    </w:p>
    <w:p>
      <w:pPr>
        <w:spacing w:line="560" w:lineRule="exact"/>
        <w:ind w:firstLine="640" w:firstLineChars="200"/>
        <w:rPr>
          <w:rFonts w:ascii="仿宋_GB2312"/>
          <w:szCs w:val="32"/>
        </w:rPr>
      </w:pPr>
    </w:p>
    <w:p>
      <w:pPr>
        <w:spacing w:line="560" w:lineRule="exact"/>
        <w:ind w:firstLine="640" w:firstLineChars="200"/>
        <w:rPr>
          <w:rFonts w:ascii="仿宋_GB2312"/>
          <w:szCs w:val="32"/>
        </w:rPr>
      </w:pPr>
      <w:r>
        <w:rPr>
          <w:rFonts w:hint="eastAsia" w:ascii="仿宋_GB2312"/>
          <w:szCs w:val="32"/>
        </w:rPr>
        <w:t>根据《广东省行政许可监督管理条例》的要求，现将我单位202</w:t>
      </w:r>
      <w:r>
        <w:rPr>
          <w:rFonts w:hint="eastAsia" w:ascii="仿宋_GB2312"/>
          <w:szCs w:val="32"/>
          <w:lang w:val="en-US" w:eastAsia="zh-CN"/>
        </w:rPr>
        <w:t>3</w:t>
      </w:r>
      <w:r>
        <w:rPr>
          <w:rFonts w:hint="eastAsia" w:ascii="仿宋_GB2312"/>
          <w:szCs w:val="32"/>
        </w:rPr>
        <w:t>年行政许可实施和监督管理情况报告如下：</w:t>
      </w:r>
    </w:p>
    <w:p>
      <w:pPr>
        <w:spacing w:line="560" w:lineRule="exact"/>
        <w:ind w:firstLine="640" w:firstLineChars="200"/>
        <w:rPr>
          <w:rFonts w:ascii="黑体" w:hAnsi="黑体" w:eastAsia="黑体"/>
          <w:szCs w:val="32"/>
        </w:rPr>
      </w:pPr>
      <w:r>
        <w:rPr>
          <w:rFonts w:hint="eastAsia" w:ascii="黑体" w:hAnsi="黑体" w:eastAsia="黑体"/>
          <w:szCs w:val="32"/>
        </w:rPr>
        <w:t>一、基本情况</w:t>
      </w:r>
    </w:p>
    <w:p>
      <w:pPr>
        <w:spacing w:line="560" w:lineRule="exact"/>
        <w:ind w:firstLine="640" w:firstLineChars="200"/>
        <w:rPr>
          <w:rFonts w:ascii="仿宋_GB2312"/>
          <w:szCs w:val="32"/>
        </w:rPr>
      </w:pPr>
      <w:r>
        <w:rPr>
          <w:rFonts w:hint="eastAsia" w:ascii="仿宋_GB2312"/>
          <w:szCs w:val="32"/>
          <w:lang w:eastAsia="zh-CN"/>
        </w:rPr>
        <w:t>2023</w:t>
      </w:r>
      <w:r>
        <w:rPr>
          <w:rFonts w:hint="eastAsia" w:ascii="仿宋_GB2312"/>
          <w:szCs w:val="32"/>
        </w:rPr>
        <w:t>年，本单位行政许可事项共计</w:t>
      </w:r>
      <w:r>
        <w:rPr>
          <w:rFonts w:hint="eastAsia" w:ascii="仿宋_GB2312"/>
          <w:szCs w:val="32"/>
          <w:lang w:val="en-US" w:eastAsia="zh-CN"/>
        </w:rPr>
        <w:t>80</w:t>
      </w:r>
      <w:r>
        <w:rPr>
          <w:rFonts w:hint="eastAsia" w:ascii="仿宋_GB2312"/>
          <w:szCs w:val="32"/>
        </w:rPr>
        <w:t>项，其中</w:t>
      </w:r>
      <w:r>
        <w:rPr>
          <w:rFonts w:hint="eastAsia" w:ascii="仿宋_GB2312"/>
          <w:szCs w:val="32"/>
          <w:lang w:eastAsia="zh-CN"/>
        </w:rPr>
        <w:t>2023</w:t>
      </w:r>
      <w:r>
        <w:rPr>
          <w:rFonts w:hint="eastAsia" w:ascii="仿宋_GB2312"/>
          <w:szCs w:val="32"/>
        </w:rPr>
        <w:t>年度减少</w:t>
      </w:r>
      <w:r>
        <w:rPr>
          <w:rFonts w:hint="eastAsia" w:ascii="仿宋_GB2312"/>
          <w:szCs w:val="32"/>
          <w:lang w:val="en-US" w:eastAsia="zh-CN"/>
        </w:rPr>
        <w:t>2个</w:t>
      </w:r>
      <w:r>
        <w:rPr>
          <w:rFonts w:hint="eastAsia" w:ascii="仿宋_GB2312"/>
          <w:szCs w:val="32"/>
        </w:rPr>
        <w:t>事项，全部事项已进驻广东省政务服务事项管理系统（广东政务服务网）。行政许可申请量为</w:t>
      </w:r>
      <w:r>
        <w:rPr>
          <w:rFonts w:hint="eastAsia" w:ascii="仿宋_GB2312"/>
          <w:szCs w:val="32"/>
          <w:lang w:val="en-US" w:eastAsia="zh-CN"/>
        </w:rPr>
        <w:t>1124852</w:t>
      </w:r>
      <w:r>
        <w:rPr>
          <w:rFonts w:hint="eastAsia" w:ascii="仿宋_GB2312"/>
          <w:szCs w:val="32"/>
        </w:rPr>
        <w:t>，其中受理量为</w:t>
      </w:r>
      <w:r>
        <w:rPr>
          <w:rFonts w:hint="eastAsia" w:ascii="仿宋_GB2312"/>
          <w:szCs w:val="32"/>
          <w:lang w:val="en-US" w:eastAsia="zh-CN"/>
        </w:rPr>
        <w:t>1124852</w:t>
      </w:r>
      <w:r>
        <w:rPr>
          <w:rFonts w:hint="eastAsia" w:ascii="仿宋_GB2312"/>
          <w:szCs w:val="32"/>
        </w:rPr>
        <w:t>、不受理量为0 ；行政许可办结量为</w:t>
      </w:r>
      <w:r>
        <w:rPr>
          <w:rFonts w:hint="eastAsia" w:ascii="仿宋_GB2312"/>
          <w:szCs w:val="32"/>
          <w:lang w:val="en-US" w:eastAsia="zh-CN"/>
        </w:rPr>
        <w:t>1124852</w:t>
      </w:r>
      <w:r>
        <w:rPr>
          <w:rFonts w:hint="eastAsia" w:ascii="仿宋_GB2312"/>
          <w:szCs w:val="32"/>
        </w:rPr>
        <w:t>，其中审批同意量为</w:t>
      </w:r>
      <w:r>
        <w:rPr>
          <w:rFonts w:hint="eastAsia" w:ascii="仿宋_GB2312"/>
          <w:szCs w:val="32"/>
          <w:lang w:val="en-US" w:eastAsia="zh-CN"/>
        </w:rPr>
        <w:t>1124852</w:t>
      </w:r>
      <w:r>
        <w:rPr>
          <w:rFonts w:hint="eastAsia" w:ascii="仿宋_GB2312"/>
          <w:szCs w:val="32"/>
        </w:rPr>
        <w:t>、审批不同意量为0 。</w:t>
      </w:r>
    </w:p>
    <w:p>
      <w:pPr>
        <w:pStyle w:val="2"/>
        <w:spacing w:before="0" w:beforeAutospacing="0" w:after="150" w:afterAutospacing="0" w:line="560" w:lineRule="exact"/>
        <w:ind w:firstLine="640" w:firstLineChars="200"/>
        <w:rPr>
          <w:rFonts w:ascii="仿宋_GB2312" w:hAnsi="Times New Roman" w:eastAsia="仿宋_GB2312" w:cs="Times New Roman"/>
          <w:kern w:val="2"/>
          <w:sz w:val="32"/>
          <w:szCs w:val="32"/>
        </w:rPr>
      </w:pPr>
      <w:r>
        <w:rPr>
          <w:rFonts w:hint="eastAsia" w:ascii="仿宋_GB2312" w:eastAsia="仿宋_GB2312"/>
          <w:sz w:val="32"/>
          <w:szCs w:val="32"/>
        </w:rPr>
        <w:t>（一）依法实施情况。</w:t>
      </w:r>
      <w:r>
        <w:rPr>
          <w:rFonts w:hint="eastAsia" w:ascii="仿宋_GB2312" w:hAnsi="Times New Roman" w:eastAsia="仿宋_GB2312" w:cs="Times New Roman"/>
          <w:kern w:val="2"/>
          <w:sz w:val="32"/>
          <w:szCs w:val="32"/>
        </w:rPr>
        <w:t>本单位遵守法律法规规定的审批权限、范围、程序、条件等情况；不存在变相设定和实施行政许可情况；定期对行政许可配套规范性文件进行清理、修改、完善；相关事项均在法定期限内办结，承诺办结时间均低于法定办结期限。</w:t>
      </w:r>
    </w:p>
    <w:p>
      <w:pPr>
        <w:pStyle w:val="2"/>
        <w:spacing w:before="0" w:beforeAutospacing="0" w:after="150" w:afterAutospacing="0" w:line="560" w:lineRule="exact"/>
        <w:ind w:firstLine="640" w:firstLineChars="200"/>
        <w:rPr>
          <w:rFonts w:ascii="仿宋_GB2312" w:hAnsi="Times New Roman" w:eastAsia="仿宋_GB2312" w:cs="Times New Roman"/>
          <w:kern w:val="2"/>
          <w:sz w:val="32"/>
          <w:szCs w:val="32"/>
        </w:rPr>
      </w:pPr>
      <w:r>
        <w:rPr>
          <w:rFonts w:hint="eastAsia" w:ascii="仿宋_GB2312" w:eastAsia="仿宋_GB2312"/>
          <w:sz w:val="32"/>
          <w:szCs w:val="32"/>
        </w:rPr>
        <w:t>（二）公开公示情况。</w:t>
      </w:r>
      <w:r>
        <w:rPr>
          <w:rFonts w:hint="eastAsia" w:ascii="仿宋_GB2312" w:hAnsi="Times New Roman" w:eastAsia="仿宋_GB2312" w:cs="Times New Roman"/>
          <w:kern w:val="2"/>
          <w:sz w:val="32"/>
          <w:szCs w:val="32"/>
        </w:rPr>
        <w:t>本单位通过广东省政务服务网平台公开公示实施主体、依据、程序、条件、期限、裁量标准、申请材料及办法、收费标准、申请书格式文本、咨询投诉方式等信息的方式、范围等情况；有关公开公示信息将各项行政审批事项明确、细化，及时向社会公开行政许可实施过程和结果的情况。</w:t>
      </w:r>
    </w:p>
    <w:p>
      <w:pPr>
        <w:spacing w:line="560" w:lineRule="exact"/>
        <w:ind w:firstLine="640" w:firstLineChars="200"/>
        <w:rPr>
          <w:rFonts w:ascii="仿宋_GB2312"/>
          <w:szCs w:val="32"/>
        </w:rPr>
      </w:pPr>
      <w:r>
        <w:rPr>
          <w:rFonts w:hint="eastAsia" w:ascii="仿宋_GB2312"/>
          <w:szCs w:val="32"/>
        </w:rPr>
        <w:t>（三）监督管理情况。本单位通过制定实施行政审批有关监管制度、措施、标准情况，对行政审批相对人活动进行监督检查情况，</w:t>
      </w:r>
      <w:r>
        <w:rPr>
          <w:rFonts w:hint="eastAsia" w:ascii="仿宋_GB2312"/>
          <w:szCs w:val="32"/>
          <w:lang w:eastAsia="zh-CN"/>
        </w:rPr>
        <w:t>2023</w:t>
      </w:r>
      <w:r>
        <w:rPr>
          <w:rFonts w:hint="eastAsia" w:ascii="仿宋_GB2312"/>
          <w:szCs w:val="32"/>
        </w:rPr>
        <w:t>年未发现有关违法违规情况；单位内部组成专门督察小组对行政审批实施行为进行监督管理，同时依托广州市12345热线平台有效处理事项办理过程中被投诉举报的情况。</w:t>
      </w:r>
    </w:p>
    <w:p>
      <w:pPr>
        <w:pStyle w:val="2"/>
        <w:spacing w:before="0" w:beforeAutospacing="0" w:after="150" w:afterAutospacing="0" w:line="560" w:lineRule="exact"/>
        <w:ind w:firstLine="640" w:firstLineChars="200"/>
        <w:rPr>
          <w:rFonts w:ascii="仿宋_GB2312" w:eastAsia="仿宋_GB2312"/>
          <w:sz w:val="32"/>
          <w:szCs w:val="32"/>
        </w:rPr>
      </w:pPr>
      <w:r>
        <w:rPr>
          <w:rFonts w:hint="eastAsia" w:ascii="仿宋_GB2312" w:eastAsia="仿宋_GB2312"/>
          <w:sz w:val="32"/>
          <w:szCs w:val="32"/>
        </w:rPr>
        <w:t>（四）实施效果情况。</w:t>
      </w:r>
      <w:r>
        <w:rPr>
          <w:rFonts w:hint="eastAsia" w:ascii="仿宋_GB2312" w:hAnsi="Times New Roman" w:eastAsia="仿宋_GB2312" w:cs="Times New Roman"/>
          <w:kern w:val="2"/>
          <w:sz w:val="32"/>
          <w:szCs w:val="32"/>
        </w:rPr>
        <w:t>本单位</w:t>
      </w:r>
      <w:r>
        <w:rPr>
          <w:rFonts w:hint="eastAsia" w:ascii="仿宋_GB2312" w:hAnsi="Times New Roman" w:eastAsia="仿宋_GB2312" w:cs="Times New Roman"/>
          <w:kern w:val="2"/>
          <w:sz w:val="32"/>
          <w:szCs w:val="32"/>
          <w:lang w:eastAsia="zh-CN"/>
        </w:rPr>
        <w:t>2023</w:t>
      </w:r>
      <w:r>
        <w:rPr>
          <w:rFonts w:hint="eastAsia" w:ascii="仿宋_GB2312" w:hAnsi="Times New Roman" w:eastAsia="仿宋_GB2312" w:cs="Times New Roman"/>
          <w:kern w:val="2"/>
          <w:sz w:val="32"/>
          <w:szCs w:val="32"/>
        </w:rPr>
        <w:t>年行政许可审批工作达到设立行政许可时预期目的和效果，并在规范市场和社会秩序、推动经济社会健康快速发展、提高经济和社会效益等方面取得新的成效，行政相对人的认可度和满意度较高。</w:t>
      </w:r>
    </w:p>
    <w:p>
      <w:pPr>
        <w:spacing w:line="560" w:lineRule="exact"/>
        <w:ind w:firstLine="640" w:firstLineChars="200"/>
        <w:rPr>
          <w:rFonts w:ascii="仿宋_GB2312" w:hAnsi="仿宋_GB2312" w:cs="仿宋_GB2312"/>
          <w:szCs w:val="32"/>
        </w:rPr>
      </w:pPr>
      <w:r>
        <w:rPr>
          <w:rFonts w:hint="eastAsia" w:ascii="仿宋_GB2312"/>
          <w:szCs w:val="32"/>
        </w:rPr>
        <w:t>（五）创新方式情况。</w:t>
      </w:r>
      <w:r>
        <w:rPr>
          <w:rFonts w:hint="eastAsia" w:ascii="仿宋_GB2312" w:hAnsi="仿宋_GB2312" w:eastAsia="仿宋_GB2312" w:cs="仿宋_GB2312"/>
          <w:sz w:val="32"/>
          <w:szCs w:val="32"/>
          <w:lang w:val="en-US" w:eastAsia="zh-CN"/>
        </w:rPr>
        <w:t>持续优化政务服务工作，全力推进“一窗通办”。</w:t>
      </w:r>
      <w:r>
        <w:rPr>
          <w:rFonts w:hint="eastAsia" w:ascii="仿宋_GB2312" w:hAnsi="仿宋_GB2312" w:eastAsia="仿宋_GB2312" w:cs="仿宋_GB2312"/>
          <w:sz w:val="32"/>
          <w:szCs w:val="32"/>
          <w:lang w:eastAsia="zh-CN"/>
        </w:rPr>
        <w:t>构建完善区分局、派出所两级警务自助服务体系，配置3台一体化自助设备（全警通），升级改造10台居民身份证自助设备，融入更多高频公安政务服务事项，提供24小时自助服务，提升警务自助设备服务水平</w:t>
      </w:r>
      <w:r>
        <w:rPr>
          <w:rFonts w:hint="eastAsia" w:ascii="仿宋_GB2312" w:hAnsi="仿宋_GB2312" w:eastAsia="仿宋_GB2312" w:cs="仿宋_GB2312"/>
          <w:sz w:val="32"/>
          <w:szCs w:val="32"/>
          <w:lang w:val="en-US" w:eastAsia="zh-CN"/>
        </w:rPr>
        <w:t>；</w:t>
      </w:r>
      <w:r>
        <w:rPr>
          <w:rFonts w:hint="eastAsia" w:ascii="仿宋_GB2312" w:hAnsi="仿宋_GB2312" w:cs="仿宋_GB2312"/>
          <w:sz w:val="32"/>
          <w:szCs w:val="32"/>
          <w:lang w:val="en-US" w:eastAsia="zh-CN"/>
        </w:rPr>
        <w:t>在区政务服务中心</w:t>
      </w:r>
      <w:r>
        <w:rPr>
          <w:rFonts w:hint="eastAsia" w:ascii="仿宋_GB2312" w:hAnsi="仿宋_GB2312" w:eastAsia="仿宋_GB2312" w:cs="仿宋_GB2312"/>
          <w:sz w:val="32"/>
          <w:szCs w:val="32"/>
          <w:lang w:eastAsia="zh-CN"/>
        </w:rPr>
        <w:t>设立</w:t>
      </w:r>
      <w:r>
        <w:rPr>
          <w:rFonts w:hint="eastAsia" w:ascii="仿宋_GB2312" w:hAnsi="仿宋_GB2312" w:eastAsia="仿宋_GB2312" w:cs="仿宋_GB2312"/>
          <w:sz w:val="32"/>
          <w:szCs w:val="32"/>
          <w:lang w:val="en-US" w:eastAsia="zh-CN"/>
        </w:rPr>
        <w:t>一窗通办综合窗口，</w:t>
      </w:r>
      <w:r>
        <w:rPr>
          <w:rFonts w:hint="eastAsia" w:ascii="仿宋_GB2312" w:hAnsi="仿宋_GB2312" w:eastAsia="仿宋_GB2312" w:cs="仿宋_GB2312"/>
          <w:sz w:val="32"/>
          <w:szCs w:val="32"/>
          <w:lang w:eastAsia="zh-CN"/>
        </w:rPr>
        <w:t>明确</w:t>
      </w:r>
      <w:r>
        <w:rPr>
          <w:rFonts w:hint="eastAsia" w:ascii="仿宋_GB2312" w:hAnsi="仿宋_GB2312" w:eastAsia="仿宋_GB2312" w:cs="仿宋_GB2312"/>
          <w:sz w:val="32"/>
          <w:szCs w:val="32"/>
          <w:lang w:val="en-US" w:eastAsia="zh-CN"/>
        </w:rPr>
        <w:t>14</w:t>
      </w:r>
      <w:r>
        <w:rPr>
          <w:rFonts w:hint="eastAsia" w:ascii="仿宋_GB2312" w:hAnsi="仿宋_GB2312" w:cs="仿宋_GB2312"/>
          <w:sz w:val="32"/>
          <w:szCs w:val="32"/>
          <w:lang w:val="en-US" w:eastAsia="zh-CN"/>
        </w:rPr>
        <w:t>8</w:t>
      </w:r>
      <w:r>
        <w:rPr>
          <w:rFonts w:hint="eastAsia" w:ascii="仿宋_GB2312" w:hAnsi="仿宋_GB2312" w:eastAsia="仿宋_GB2312" w:cs="仿宋_GB2312"/>
          <w:sz w:val="32"/>
          <w:szCs w:val="32"/>
          <w:lang w:val="en-US" w:eastAsia="zh-CN"/>
        </w:rPr>
        <w:t>项“</w:t>
      </w:r>
      <w:r>
        <w:rPr>
          <w:rFonts w:hint="eastAsia" w:ascii="仿宋_GB2312" w:hAnsi="仿宋_GB2312" w:eastAsia="仿宋_GB2312" w:cs="仿宋_GB2312"/>
          <w:sz w:val="32"/>
          <w:szCs w:val="32"/>
          <w:lang w:eastAsia="zh-CN"/>
        </w:rPr>
        <w:t>一窗通办”事项清单，</w:t>
      </w:r>
      <w:r>
        <w:rPr>
          <w:rFonts w:hint="eastAsia" w:ascii="仿宋_GB2312" w:hAnsi="仿宋_GB2312" w:eastAsia="仿宋_GB2312" w:cs="仿宋_GB2312"/>
          <w:sz w:val="32"/>
          <w:szCs w:val="32"/>
          <w:lang w:val="en-US" w:eastAsia="zh-CN"/>
        </w:rPr>
        <w:t>建立综合受理队伍，增购一体化受理设备，实现</w:t>
      </w:r>
      <w:r>
        <w:rPr>
          <w:rFonts w:hint="eastAsia" w:ascii="仿宋_GB2312" w:hAnsi="仿宋_GB2312" w:eastAsia="仿宋_GB2312" w:cs="仿宋_GB2312"/>
          <w:sz w:val="32"/>
          <w:szCs w:val="32"/>
          <w:lang w:eastAsia="zh-CN"/>
        </w:rPr>
        <w:t>“一窗多能”、“一警多能”，</w:t>
      </w:r>
      <w:r>
        <w:rPr>
          <w:rFonts w:hint="eastAsia" w:ascii="仿宋_GB2312" w:hAnsi="仿宋_GB2312" w:cs="仿宋_GB2312"/>
          <w:sz w:val="32"/>
          <w:szCs w:val="32"/>
          <w:lang w:val="en-US" w:eastAsia="zh-CN"/>
        </w:rPr>
        <w:t>全年共</w:t>
      </w:r>
      <w:r>
        <w:rPr>
          <w:rFonts w:hint="eastAsia" w:ascii="仿宋_GB2312" w:hAnsi="仿宋_GB2312" w:eastAsia="仿宋_GB2312" w:cs="仿宋_GB2312"/>
          <w:sz w:val="32"/>
          <w:szCs w:val="32"/>
          <w:lang w:val="en-US" w:eastAsia="zh-CN"/>
        </w:rPr>
        <w:t>为群众提供“一窗通办”服务共</w:t>
      </w:r>
      <w:r>
        <w:rPr>
          <w:rFonts w:hint="eastAsia" w:ascii="仿宋_GB2312" w:hAnsi="仿宋_GB2312" w:eastAsia="仿宋_GB2312" w:cs="仿宋_GB2312"/>
          <w:sz w:val="32"/>
          <w:szCs w:val="32"/>
          <w:lang w:eastAsia="zh-CN"/>
        </w:rPr>
        <w:t>12027</w:t>
      </w:r>
      <w:r>
        <w:rPr>
          <w:rFonts w:hint="eastAsia" w:ascii="仿宋_GB2312" w:hAnsi="仿宋_GB2312" w:eastAsia="仿宋_GB2312" w:cs="仿宋_GB2312"/>
          <w:sz w:val="32"/>
          <w:szCs w:val="32"/>
          <w:lang w:val="en-US" w:eastAsia="zh-CN"/>
        </w:rPr>
        <w:t>宗；邀请</w:t>
      </w:r>
      <w:r>
        <w:rPr>
          <w:rFonts w:hint="eastAsia" w:ascii="仿宋_GB2312" w:hAnsi="仿宋_GB2312" w:cs="仿宋_GB2312"/>
          <w:sz w:val="32"/>
          <w:szCs w:val="32"/>
          <w:lang w:val="en-US" w:eastAsia="zh-CN"/>
        </w:rPr>
        <w:t>超过30</w:t>
      </w:r>
      <w:r>
        <w:rPr>
          <w:rFonts w:hint="eastAsia" w:ascii="仿宋_GB2312" w:hAnsi="仿宋_GB2312" w:eastAsia="仿宋_GB2312" w:cs="仿宋_GB2312"/>
          <w:sz w:val="32"/>
          <w:szCs w:val="32"/>
          <w:lang w:val="en-US" w:eastAsia="zh-CN"/>
        </w:rPr>
        <w:t>名人大代表对公安政务服务“一窗通办”建设情况进行调研考察，听取人大代表的意见建议，提高“一窗通办”知晓率和曝光度，不断完善有关机制，夯实“一窗通办”改革成果。</w:t>
      </w:r>
    </w:p>
    <w:p>
      <w:pPr>
        <w:spacing w:line="560" w:lineRule="exact"/>
        <w:ind w:firstLine="640" w:firstLineChars="200"/>
        <w:rPr>
          <w:rFonts w:ascii="仿宋_GB2312"/>
          <w:szCs w:val="32"/>
        </w:rPr>
      </w:pPr>
      <w:r>
        <w:rPr>
          <w:rFonts w:hint="eastAsia" w:ascii="仿宋_GB2312"/>
          <w:szCs w:val="32"/>
        </w:rPr>
        <w:t>（六）推行标准化情况。本单位按照市局部署，及时在广东省政务服务事项管理系统更新办事指南，规范行政许可事项名称、实施依据、申请条件、申请材料、办理时限、受理范围等要素，进一步减少自由裁量权，并积极配合区部门清理规范行政许可中介服务，切实提高行政审批工作的规范度、透明度。</w:t>
      </w:r>
    </w:p>
    <w:p>
      <w:pPr>
        <w:spacing w:line="560" w:lineRule="exact"/>
        <w:ind w:firstLine="640" w:firstLineChars="200"/>
        <w:rPr>
          <w:rFonts w:ascii="黑体" w:hAnsi="黑体" w:eastAsia="黑体"/>
          <w:szCs w:val="32"/>
        </w:rPr>
      </w:pPr>
      <w:r>
        <w:rPr>
          <w:rFonts w:hint="eastAsia" w:ascii="黑体" w:hAnsi="黑体" w:eastAsia="黑体"/>
          <w:szCs w:val="32"/>
        </w:rPr>
        <w:t>二、存在问题和困难</w:t>
      </w:r>
    </w:p>
    <w:p>
      <w:pPr>
        <w:spacing w:line="560" w:lineRule="exact"/>
        <w:ind w:firstLine="640" w:firstLineChars="200"/>
        <w:rPr>
          <w:rFonts w:hint="eastAsia" w:ascii="仿宋_GB2312" w:eastAsia="仿宋_GB2312"/>
          <w:szCs w:val="32"/>
          <w:lang w:eastAsia="zh-CN"/>
        </w:rPr>
      </w:pPr>
      <w:r>
        <w:rPr>
          <w:rFonts w:hint="eastAsia" w:ascii="仿宋_GB2312"/>
          <w:szCs w:val="32"/>
        </w:rPr>
        <w:t>目前，</w:t>
      </w:r>
      <w:r>
        <w:rPr>
          <w:rFonts w:hint="eastAsia" w:ascii="仿宋_GB2312"/>
          <w:szCs w:val="32"/>
          <w:lang w:eastAsia="zh-CN"/>
        </w:rPr>
        <w:t>各级政府部门掌握的信息数据由于管理体制等限制无法形成共享，部门之间的信息壁垒成为不容忽视的客观问题，如何让数据信息多跑路、让群众少跑腿成为摆在各级政府部门面前的重要课题</w:t>
      </w:r>
      <w:r>
        <w:rPr>
          <w:rFonts w:hint="eastAsia" w:ascii="仿宋_GB2312"/>
          <w:szCs w:val="32"/>
        </w:rPr>
        <w:t>。</w:t>
      </w:r>
      <w:r>
        <w:rPr>
          <w:rFonts w:hint="eastAsia" w:ascii="仿宋_GB2312"/>
          <w:szCs w:val="32"/>
          <w:lang w:eastAsia="zh-CN"/>
        </w:rPr>
        <w:t>同时，部分事项的审批逻辑与容缺容错受理和事后监管等环节未能形成合理闭环，政务服务提质增效仍存在较大挑战。</w:t>
      </w:r>
    </w:p>
    <w:p>
      <w:pPr>
        <w:spacing w:line="560" w:lineRule="exact"/>
        <w:ind w:firstLine="640" w:firstLineChars="200"/>
        <w:rPr>
          <w:rFonts w:ascii="黑体" w:hAnsi="黑体" w:eastAsia="黑体"/>
          <w:szCs w:val="32"/>
        </w:rPr>
      </w:pPr>
      <w:r>
        <w:rPr>
          <w:rFonts w:hint="eastAsia" w:ascii="黑体" w:hAnsi="黑体" w:eastAsia="黑体"/>
          <w:szCs w:val="32"/>
        </w:rPr>
        <w:t>三、下一步工作措施及有关建议</w:t>
      </w:r>
    </w:p>
    <w:p>
      <w:pPr>
        <w:spacing w:line="560" w:lineRule="exact"/>
        <w:ind w:firstLine="640" w:firstLineChars="200"/>
        <w:rPr>
          <w:rFonts w:hint="eastAsia" w:ascii="仿宋_GB2312" w:hAnsi="Times New Roman" w:cs="Times New Roman"/>
          <w:szCs w:val="32"/>
          <w:lang w:eastAsia="zh-CN"/>
        </w:rPr>
      </w:pPr>
      <w:r>
        <w:rPr>
          <w:rFonts w:hint="eastAsia" w:ascii="仿宋_GB2312" w:hAnsi="Times New Roman" w:cs="Times New Roman"/>
          <w:szCs w:val="32"/>
          <w:lang w:eastAsia="zh-CN"/>
        </w:rPr>
        <w:t>（一）持续健全完善形式直观、易看易懂的审批服务指南和流程图，实现网上可查、电话可询、窗口可见，为企业和群众提供清晰指引。</w:t>
      </w:r>
    </w:p>
    <w:p>
      <w:pPr>
        <w:spacing w:line="560" w:lineRule="exact"/>
        <w:ind w:firstLine="640" w:firstLineChars="200"/>
        <w:rPr>
          <w:rFonts w:hint="eastAsia" w:ascii="仿宋_GB2312" w:hAnsi="Times New Roman" w:cs="Times New Roman"/>
          <w:szCs w:val="32"/>
          <w:lang w:eastAsia="zh-CN"/>
        </w:rPr>
      </w:pPr>
      <w:r>
        <w:rPr>
          <w:rFonts w:hint="eastAsia" w:ascii="仿宋_GB2312" w:hAnsi="Times New Roman" w:cs="Times New Roman"/>
          <w:szCs w:val="32"/>
          <w:lang w:eastAsia="zh-CN"/>
        </w:rPr>
        <w:t>（二）不断优化审批流程，压缩审批时限，提高审批效能，为企业和群众提供便捷高效的行政许可服务。</w:t>
      </w:r>
    </w:p>
    <w:p>
      <w:pPr>
        <w:spacing w:line="560" w:lineRule="exact"/>
        <w:ind w:firstLine="640" w:firstLineChars="200"/>
        <w:rPr>
          <w:rFonts w:hint="eastAsia" w:ascii="仿宋_GB2312" w:hAnsi="Times New Roman" w:cs="Times New Roman"/>
          <w:szCs w:val="32"/>
          <w:lang w:eastAsia="zh-CN"/>
        </w:rPr>
      </w:pPr>
      <w:r>
        <w:rPr>
          <w:rFonts w:hint="eastAsia" w:ascii="仿宋_GB2312" w:hAnsi="Times New Roman" w:cs="Times New Roman"/>
          <w:szCs w:val="32"/>
          <w:lang w:eastAsia="zh-CN"/>
        </w:rPr>
        <w:t>（三）持续加强服务窗口制度建设和规范化建设，完善监督机制，落实首问负责、一次性告知和限时办结等制定，提升窗口服务效能。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altName w:val="Arial Unicode MS"/>
    <w:panose1 w:val="00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ED700D"/>
    <w:rsid w:val="0AED70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widowControl/>
      <w:spacing w:before="100" w:beforeAutospacing="1" w:after="100" w:afterAutospacing="1"/>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其他</Company>
  <Pages>1</Pages>
  <Words>0</Words>
  <Characters>0</Characters>
  <Lines>0</Lines>
  <Paragraphs>0</Paragraphs>
  <TotalTime>2</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2024-04-03T06:51:00Z</dcterms:created>
  <dc:creator>pyfz</dc:creator>
  <cp:lastModifiedBy>pyfz</cp:lastModifiedBy>
  <dcterms:modified xsi:type="dcterms:W3CDTF">2024-04-03T07:21:33Z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94A70788D25346E69728D239C8B83CEA</vt:lpwstr>
  </property>
</Properties>
</file>